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50E22" w14:textId="32A4810C" w:rsidR="005E1820" w:rsidRPr="005E1820" w:rsidRDefault="005E1820" w:rsidP="005E1820">
      <w:pPr>
        <w:pStyle w:val="Header"/>
        <w:tabs>
          <w:tab w:val="right" w:pos="9639"/>
        </w:tabs>
        <w:rPr>
          <w:noProof w:val="0"/>
          <w:sz w:val="24"/>
          <w:szCs w:val="24"/>
        </w:rPr>
      </w:pPr>
      <w:r w:rsidRPr="005E1820">
        <w:rPr>
          <w:noProof w:val="0"/>
          <w:sz w:val="24"/>
          <w:szCs w:val="24"/>
        </w:rPr>
        <w:t>3GPP TSG-RAN WG2 Meeting #107</w:t>
      </w:r>
      <w:r w:rsidR="008027AC">
        <w:rPr>
          <w:noProof w:val="0"/>
          <w:sz w:val="24"/>
          <w:szCs w:val="24"/>
        </w:rPr>
        <w:t>bis</w:t>
      </w:r>
      <w:r w:rsidRPr="005E1820">
        <w:rPr>
          <w:noProof w:val="0"/>
          <w:sz w:val="24"/>
          <w:szCs w:val="24"/>
        </w:rPr>
        <w:tab/>
        <w:t>R2-19</w:t>
      </w:r>
      <w:r w:rsidR="00781D54">
        <w:rPr>
          <w:noProof w:val="0"/>
          <w:sz w:val="24"/>
          <w:szCs w:val="24"/>
        </w:rPr>
        <w:t>1</w:t>
      </w:r>
      <w:r w:rsidR="003D6C22">
        <w:rPr>
          <w:noProof w:val="0"/>
          <w:sz w:val="24"/>
          <w:szCs w:val="24"/>
        </w:rPr>
        <w:t>4063</w:t>
      </w:r>
      <w:bookmarkStart w:id="0" w:name="_GoBack"/>
      <w:bookmarkEnd w:id="0"/>
    </w:p>
    <w:p w14:paraId="6B00A4F0" w14:textId="756C62FB" w:rsidR="003D4674" w:rsidRDefault="008027AC" w:rsidP="005E1820">
      <w:pPr>
        <w:pStyle w:val="Header"/>
        <w:tabs>
          <w:tab w:val="right" w:pos="9639"/>
        </w:tabs>
        <w:rPr>
          <w:noProof w:val="0"/>
          <w:sz w:val="24"/>
          <w:szCs w:val="24"/>
        </w:rPr>
      </w:pPr>
      <w:r>
        <w:rPr>
          <w:rFonts w:eastAsia="SimSun" w:hint="eastAsia"/>
          <w:color w:val="000000"/>
          <w:sz w:val="24"/>
          <w:lang w:eastAsia="zh-CN"/>
        </w:rPr>
        <w:t>Chongqing</w:t>
      </w:r>
      <w:r w:rsidRPr="009F67A0">
        <w:rPr>
          <w:rFonts w:eastAsia="SimSun"/>
          <w:color w:val="000000"/>
          <w:sz w:val="24"/>
          <w:lang w:eastAsia="zh-CN"/>
        </w:rPr>
        <w:t>, China</w:t>
      </w:r>
      <w:r w:rsidR="005E1820" w:rsidRPr="005E1820">
        <w:rPr>
          <w:noProof w:val="0"/>
          <w:sz w:val="24"/>
          <w:szCs w:val="24"/>
        </w:rPr>
        <w:t>,</w:t>
      </w:r>
      <w:r w:rsidR="005E1820">
        <w:rPr>
          <w:noProof w:val="0"/>
          <w:sz w:val="24"/>
          <w:szCs w:val="24"/>
        </w:rPr>
        <w:t xml:space="preserve"> </w:t>
      </w:r>
      <w:r>
        <w:rPr>
          <w:noProof w:val="0"/>
          <w:sz w:val="24"/>
          <w:szCs w:val="24"/>
        </w:rPr>
        <w:t>14</w:t>
      </w:r>
      <w:r w:rsidR="005E1820" w:rsidRPr="005E1820">
        <w:rPr>
          <w:noProof w:val="0"/>
          <w:sz w:val="24"/>
          <w:szCs w:val="24"/>
        </w:rPr>
        <w:t xml:space="preserve">th - </w:t>
      </w:r>
      <w:r>
        <w:rPr>
          <w:noProof w:val="0"/>
          <w:sz w:val="24"/>
          <w:szCs w:val="24"/>
        </w:rPr>
        <w:t>18</w:t>
      </w:r>
      <w:r w:rsidR="005E1820" w:rsidRPr="005E1820">
        <w:rPr>
          <w:noProof w:val="0"/>
          <w:sz w:val="24"/>
          <w:szCs w:val="24"/>
        </w:rPr>
        <w:t xml:space="preserve">th </w:t>
      </w:r>
      <w:r>
        <w:rPr>
          <w:noProof w:val="0"/>
          <w:sz w:val="24"/>
          <w:szCs w:val="24"/>
        </w:rPr>
        <w:t>October</w:t>
      </w:r>
      <w:r w:rsidR="005E1820" w:rsidRPr="005E1820">
        <w:rPr>
          <w:noProof w:val="0"/>
          <w:sz w:val="24"/>
          <w:szCs w:val="24"/>
        </w:rPr>
        <w:t xml:space="preserve"> 2019</w:t>
      </w:r>
      <w:r w:rsidR="00466C7C">
        <w:rPr>
          <w:noProof w:val="0"/>
          <w:sz w:val="24"/>
          <w:szCs w:val="24"/>
        </w:rPr>
        <w:tab/>
        <w:t>Revision of R2-1913652</w:t>
      </w:r>
    </w:p>
    <w:p w14:paraId="7CB45B00" w14:textId="77777777" w:rsidR="005E1820" w:rsidRDefault="005E1820" w:rsidP="001E2FF6">
      <w:pPr>
        <w:pStyle w:val="CRCoverPage"/>
        <w:tabs>
          <w:tab w:val="left" w:pos="1985"/>
        </w:tabs>
        <w:rPr>
          <w:rFonts w:cs="Arial"/>
          <w:b/>
          <w:bCs/>
          <w:sz w:val="24"/>
        </w:rPr>
      </w:pPr>
    </w:p>
    <w:p w14:paraId="13342E42" w14:textId="048843C6" w:rsidR="001E2FF6" w:rsidRPr="00B266B0" w:rsidRDefault="001E2FF6" w:rsidP="005E1820">
      <w:pPr>
        <w:pStyle w:val="CRCoverPage"/>
        <w:tabs>
          <w:tab w:val="left" w:pos="1985"/>
        </w:tabs>
        <w:spacing w:after="60"/>
        <w:rPr>
          <w:rFonts w:cs="Arial"/>
          <w:b/>
          <w:bCs/>
          <w:sz w:val="24"/>
          <w:lang w:eastAsia="ja-JP"/>
        </w:rPr>
      </w:pPr>
      <w:r w:rsidRPr="00B266B0">
        <w:rPr>
          <w:rFonts w:cs="Arial"/>
          <w:b/>
          <w:bCs/>
          <w:sz w:val="24"/>
        </w:rPr>
        <w:t>Agenda item:</w:t>
      </w:r>
      <w:r>
        <w:rPr>
          <w:rFonts w:cs="Arial"/>
          <w:b/>
          <w:bCs/>
          <w:sz w:val="24"/>
        </w:rPr>
        <w:tab/>
      </w:r>
      <w:r w:rsidR="008016BC">
        <w:rPr>
          <w:rFonts w:cs="Arial"/>
          <w:b/>
          <w:bCs/>
          <w:sz w:val="24"/>
          <w:lang w:eastAsia="ja-JP"/>
        </w:rPr>
        <w:t>6.2.</w:t>
      </w:r>
      <w:r w:rsidR="009C7216">
        <w:rPr>
          <w:rFonts w:cs="Arial"/>
          <w:b/>
          <w:bCs/>
          <w:sz w:val="24"/>
          <w:lang w:eastAsia="ja-JP"/>
        </w:rPr>
        <w:t>3</w:t>
      </w:r>
      <w:r w:rsidR="008016BC">
        <w:rPr>
          <w:rFonts w:cs="Arial"/>
          <w:b/>
          <w:bCs/>
          <w:sz w:val="24"/>
          <w:lang w:eastAsia="ja-JP"/>
        </w:rPr>
        <w:t>.</w:t>
      </w:r>
      <w:r w:rsidR="00A32921">
        <w:rPr>
          <w:rFonts w:cs="Arial"/>
          <w:b/>
          <w:bCs/>
          <w:sz w:val="24"/>
          <w:lang w:eastAsia="ja-JP"/>
        </w:rPr>
        <w:t>5</w:t>
      </w:r>
    </w:p>
    <w:p w14:paraId="53DF44E9" w14:textId="345CC2C4" w:rsidR="001E2FF6" w:rsidRPr="00B266B0" w:rsidRDefault="001E2FF6" w:rsidP="005E1820">
      <w:pPr>
        <w:tabs>
          <w:tab w:val="left" w:pos="1985"/>
        </w:tabs>
        <w:spacing w:after="6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37637B8E" w14:textId="180B95F4" w:rsidR="001E2FF6" w:rsidRDefault="001E2FF6" w:rsidP="005E1820">
      <w:pPr>
        <w:spacing w:after="6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27AC" w:rsidRPr="008027AC">
        <w:rPr>
          <w:rFonts w:ascii="Arial" w:hAnsi="Arial" w:cs="Arial"/>
          <w:b/>
          <w:bCs/>
          <w:sz w:val="24"/>
        </w:rPr>
        <w:t>On NR-U Operation in DFS Channels</w:t>
      </w:r>
    </w:p>
    <w:p w14:paraId="7E87D96A" w14:textId="36AB42BD" w:rsidR="001E2FF6" w:rsidRPr="00B266B0" w:rsidRDefault="001E2FF6" w:rsidP="005E1820">
      <w:pPr>
        <w:spacing w:after="60"/>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3CACA7C0" w14:textId="77777777" w:rsidR="001E2FF6" w:rsidRPr="00B266B0" w:rsidRDefault="001E2FF6" w:rsidP="005E1820">
      <w:pPr>
        <w:tabs>
          <w:tab w:val="left" w:pos="1985"/>
        </w:tabs>
        <w:spacing w:after="6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486281">
      <w:pPr>
        <w:pStyle w:val="Heading1"/>
      </w:pPr>
      <w:r w:rsidRPr="006E13D1">
        <w:t>1</w:t>
      </w:r>
      <w:r w:rsidRPr="006E13D1">
        <w:tab/>
      </w:r>
      <w:r>
        <w:t>Introduction</w:t>
      </w:r>
    </w:p>
    <w:p w14:paraId="765A74F4" w14:textId="144F4139" w:rsidR="008027AC" w:rsidRDefault="00DD773C" w:rsidP="008027AC">
      <w:pPr>
        <w:jc w:val="both"/>
      </w:pPr>
      <w:r>
        <w:t>Operation in unlicensed spectrum</w:t>
      </w:r>
      <w:r w:rsidR="008027AC">
        <w:t>s</w:t>
      </w:r>
      <w:r>
        <w:t xml:space="preserve"> requires </w:t>
      </w:r>
      <w:r w:rsidR="00A326EA">
        <w:t xml:space="preserve">conformance to </w:t>
      </w:r>
      <w:r w:rsidR="008027AC">
        <w:t xml:space="preserve">local </w:t>
      </w:r>
      <w:r w:rsidR="00A326EA">
        <w:t xml:space="preserve">regulatory rules. </w:t>
      </w:r>
      <w:r w:rsidR="00D33247">
        <w:t>In NR-Unlicensed WID [</w:t>
      </w:r>
      <w:r w:rsidR="001A5087">
        <w:t>1</w:t>
      </w:r>
      <w:r w:rsidR="00D33247">
        <w:t xml:space="preserve">], </w:t>
      </w:r>
      <w:r w:rsidR="00785EC5">
        <w:t xml:space="preserve">the </w:t>
      </w:r>
      <w:r w:rsidR="008027AC">
        <w:t xml:space="preserve">operational unlicensed spectrum is defined to be the 5GHz spectrum, which also includes the spectrum of a few incumbent technologies. Particularly, in portions of 5GHz spectrum, various radars operate where the unlicensed RAT devices are required to protect them if the device happen to detect the presence of the radar signals. </w:t>
      </w:r>
    </w:p>
    <w:p w14:paraId="67F9BFD9" w14:textId="07459AC6" w:rsidR="001E2FF6" w:rsidRDefault="008027AC" w:rsidP="008027AC">
      <w:pPr>
        <w:jc w:val="both"/>
        <w:rPr>
          <w:lang w:eastAsia="ja-JP"/>
        </w:rPr>
      </w:pPr>
      <w:r>
        <w:t xml:space="preserve">In this contribution, we highlight issues related to operation in portions of 5GHz spectrum that is subject to such requirements. </w:t>
      </w:r>
      <w:r w:rsidR="000D614B">
        <w:t xml:space="preserve">   </w:t>
      </w:r>
      <w:r w:rsidR="001A5087">
        <w:t xml:space="preserve">  </w:t>
      </w:r>
    </w:p>
    <w:p w14:paraId="68AD570C" w14:textId="2D6DF659" w:rsidR="001E2FF6" w:rsidRPr="006E13D1" w:rsidRDefault="001E2FF6" w:rsidP="001E2FF6">
      <w:pPr>
        <w:pStyle w:val="Heading1"/>
      </w:pPr>
      <w:r>
        <w:t>2</w:t>
      </w:r>
      <w:r w:rsidRPr="006E13D1">
        <w:tab/>
      </w:r>
      <w:r w:rsidR="008027AC">
        <w:t xml:space="preserve">Regulatory </w:t>
      </w:r>
      <w:r w:rsidR="00D60516">
        <w:t>requirements</w:t>
      </w:r>
      <w:r w:rsidR="008027AC">
        <w:t xml:space="preserve"> for </w:t>
      </w:r>
      <w:r w:rsidR="00971BE3">
        <w:t xml:space="preserve">protecting incumbent technologies </w:t>
      </w:r>
      <w:r w:rsidR="008027AC">
        <w:t>in 5GHz spectrum</w:t>
      </w:r>
    </w:p>
    <w:p w14:paraId="4FCC7BF5" w14:textId="61963F3F" w:rsidR="00971BE3" w:rsidRPr="00971BE3" w:rsidRDefault="000C6BC7" w:rsidP="00E6716D">
      <w:pPr>
        <w:spacing w:after="120"/>
        <w:jc w:val="both"/>
        <w:rPr>
          <w:szCs w:val="22"/>
        </w:rPr>
      </w:pPr>
      <w:r w:rsidRPr="00971BE3">
        <w:rPr>
          <w:szCs w:val="22"/>
        </w:rPr>
        <w:t xml:space="preserve">5GHz spectrum is available worldwide for unlicensed use. Various unlicensed technologies such as IEEE’s 802.11, 3GPP’s LTE LAA/eLAA/FeLAA, and 3GPP’s NR-U employ use of this spectrum. In particular, in USA, portions of this spectrum </w:t>
      </w:r>
      <w:proofErr w:type="gramStart"/>
      <w:r w:rsidRPr="00971BE3">
        <w:rPr>
          <w:szCs w:val="22"/>
        </w:rPr>
        <w:t>is</w:t>
      </w:r>
      <w:proofErr w:type="gramEnd"/>
      <w:r w:rsidRPr="00971BE3">
        <w:rPr>
          <w:szCs w:val="22"/>
        </w:rPr>
        <w:t xml:space="preserve"> shared with Federal radar systems (e.g. weather Doppler radars or TWDR). Also, portions of 5GHz spectrum is allocated to radar operation worldwide [2].</w:t>
      </w:r>
    </w:p>
    <w:p w14:paraId="20FF2E00" w14:textId="2B9C61AA" w:rsidR="00971BE3" w:rsidRDefault="00860422" w:rsidP="00E6716D">
      <w:pPr>
        <w:spacing w:after="120"/>
        <w:jc w:val="both"/>
      </w:pPr>
      <w:r>
        <w:t>Dynamic frequency selection (</w:t>
      </w:r>
      <w:r w:rsidR="00971BE3" w:rsidRPr="00971BE3">
        <w:t>DFS</w:t>
      </w:r>
      <w:r>
        <w:t>)</w:t>
      </w:r>
      <w:r w:rsidR="00971BE3" w:rsidRPr="00971BE3">
        <w:t xml:space="preserve"> is a mechanism to allow (outdoor) unlicensed devices to operate in 5GHz frequency bands </w:t>
      </w:r>
      <w:r>
        <w:t>(</w:t>
      </w:r>
      <w:r w:rsidR="00971BE3" w:rsidRPr="00971BE3">
        <w:t>which have been allocated to radar systems</w:t>
      </w:r>
      <w:r>
        <w:t>)</w:t>
      </w:r>
      <w:r w:rsidR="00971BE3" w:rsidRPr="00971BE3">
        <w:t xml:space="preserve"> without causing interference to radar</w:t>
      </w:r>
      <w:r w:rsidR="00971BE3">
        <w:t>s operating in the channel</w:t>
      </w:r>
      <w:r w:rsidR="0011589E">
        <w:t xml:space="preserve"> [3]</w:t>
      </w:r>
      <w:r w:rsidR="00971BE3" w:rsidRPr="00971BE3">
        <w:t>. A DFS-enabled device monitors the channel it operates at and if radar signals detected, the device will vacate that channel and switch to an alternate channel automatically. In addition, the channel which radar</w:t>
      </w:r>
      <w:r w:rsidR="00B0029A">
        <w:t xml:space="preserve"> signal</w:t>
      </w:r>
      <w:r w:rsidR="00971BE3" w:rsidRPr="00971BE3">
        <w:t>s are detected will not be used for a period of time.</w:t>
      </w:r>
    </w:p>
    <w:p w14:paraId="7A65202E" w14:textId="5084A453" w:rsidR="005C3C50" w:rsidRPr="0039641B" w:rsidRDefault="00B0029A" w:rsidP="00DB7600">
      <w:pPr>
        <w:pStyle w:val="B2"/>
        <w:ind w:left="0" w:firstLine="0"/>
        <w:jc w:val="both"/>
      </w:pPr>
      <w:r w:rsidRPr="0039641B">
        <w:t>The channels subject to DFS for operation of LAA and NR-U devices are channels within 46B and 46C [4</w:t>
      </w:r>
      <w:r w:rsidR="0011589E" w:rsidRPr="0039641B">
        <w:t>,5</w:t>
      </w:r>
      <w:r w:rsidRPr="0039641B">
        <w:t>], where 46B ranges from 5250MHz to 5350MHz and 46C ranges from 5470MHz to 5725MHz.</w:t>
      </w:r>
      <w:r w:rsidR="0007081D" w:rsidRPr="0039641B">
        <w:t xml:space="preserve"> </w:t>
      </w:r>
      <w:r w:rsidR="0007081D" w:rsidRPr="0039641B">
        <w:rPr>
          <w:lang w:eastAsia="ja-JP"/>
        </w:rPr>
        <w:t xml:space="preserve">Corresponding channel(s) for NR are expected to be defined as part of the ongoing NR-U WID </w:t>
      </w:r>
      <w:r w:rsidR="0007081D" w:rsidRPr="0039641B">
        <w:rPr>
          <w:lang w:eastAsia="ja-JP"/>
        </w:rPr>
        <w:fldChar w:fldCharType="begin"/>
      </w:r>
      <w:r w:rsidR="0007081D" w:rsidRPr="0039641B">
        <w:rPr>
          <w:lang w:eastAsia="ja-JP"/>
        </w:rPr>
        <w:instrText xml:space="preserve"> REF _Ref534127550 \w \h </w:instrText>
      </w:r>
      <w:r w:rsidR="0039641B">
        <w:rPr>
          <w:lang w:eastAsia="ja-JP"/>
        </w:rPr>
        <w:instrText xml:space="preserve"> \* MERGEFORMAT </w:instrText>
      </w:r>
      <w:r w:rsidR="0007081D" w:rsidRPr="0039641B">
        <w:rPr>
          <w:lang w:eastAsia="ja-JP"/>
        </w:rPr>
      </w:r>
      <w:r w:rsidR="0007081D" w:rsidRPr="0039641B">
        <w:rPr>
          <w:lang w:eastAsia="ja-JP"/>
        </w:rPr>
        <w:fldChar w:fldCharType="separate"/>
      </w:r>
      <w:r w:rsidR="0007081D" w:rsidRPr="0039641B">
        <w:rPr>
          <w:lang w:eastAsia="ja-JP"/>
        </w:rPr>
        <w:t>[1]</w:t>
      </w:r>
      <w:r w:rsidR="0007081D" w:rsidRPr="0039641B">
        <w:rPr>
          <w:lang w:eastAsia="ja-JP"/>
        </w:rPr>
        <w:fldChar w:fldCharType="end"/>
      </w:r>
      <w:r w:rsidR="0039641B">
        <w:rPr>
          <w:lang w:eastAsia="ja-JP"/>
        </w:rPr>
        <w:t>. A full list of channels subject to DFS requirement worldwide is reported in NR-U SI report [2]</w:t>
      </w:r>
      <w:r w:rsidR="0007081D" w:rsidRPr="0039641B">
        <w:rPr>
          <w:lang w:eastAsia="ja-JP"/>
        </w:rPr>
        <w:t xml:space="preserve">. Note that the portion of the spectrum that requires DFS capability is more than half of the total 5GHz unlicensed spectrum in </w:t>
      </w:r>
      <w:r w:rsidR="001158B4" w:rsidRPr="0039641B">
        <w:rPr>
          <w:lang w:eastAsia="ja-JP"/>
        </w:rPr>
        <w:t>North Amer</w:t>
      </w:r>
      <w:r w:rsidR="004D1922" w:rsidRPr="0039641B">
        <w:rPr>
          <w:lang w:eastAsia="ja-JP"/>
        </w:rPr>
        <w:t>ica</w:t>
      </w:r>
      <w:r w:rsidR="0007081D" w:rsidRPr="0039641B">
        <w:rPr>
          <w:lang w:eastAsia="ja-JP"/>
        </w:rPr>
        <w:t xml:space="preserve">, and it becomes even a bigger portion in some other countries.  </w:t>
      </w:r>
      <w:r w:rsidR="00233337" w:rsidRPr="0039641B">
        <w:rPr>
          <w:lang w:eastAsia="ja-JP"/>
        </w:rPr>
        <w:t>Appendix A includes a table of the sub-bands of 5GHz unlicensed spectrum [3] and an illustration of the sub-bands</w:t>
      </w:r>
      <w:r w:rsidR="001158B4" w:rsidRPr="0039641B">
        <w:rPr>
          <w:lang w:eastAsia="ja-JP"/>
        </w:rPr>
        <w:t xml:space="preserve"> affected by DFS requirement in North America</w:t>
      </w:r>
      <w:r w:rsidR="0039641B">
        <w:rPr>
          <w:lang w:eastAsia="ja-JP"/>
        </w:rPr>
        <w:t xml:space="preserve"> [2]</w:t>
      </w:r>
      <w:r w:rsidR="00233337" w:rsidRPr="0039641B">
        <w:rPr>
          <w:lang w:eastAsia="ja-JP"/>
        </w:rPr>
        <w:t xml:space="preserve">. </w:t>
      </w:r>
    </w:p>
    <w:p w14:paraId="7AF320B0" w14:textId="34E276CC" w:rsidR="00010500" w:rsidRDefault="00971BE3" w:rsidP="00E6716D">
      <w:pPr>
        <w:spacing w:after="120"/>
        <w:jc w:val="both"/>
      </w:pPr>
      <w:r w:rsidRPr="00971BE3">
        <w:t>According to regulatory requirement, a master device (e.g. a gNB</w:t>
      </w:r>
      <w:r w:rsidR="00860422">
        <w:t>,</w:t>
      </w:r>
      <w:r>
        <w:t xml:space="preserve"> a</w:t>
      </w:r>
      <w:r w:rsidR="00860422">
        <w:t>n eNB</w:t>
      </w:r>
      <w:r>
        <w:t xml:space="preserve"> </w:t>
      </w:r>
      <w:r w:rsidR="00860422">
        <w:t xml:space="preserve">or a </w:t>
      </w:r>
      <w:r>
        <w:t>WiFi access point</w:t>
      </w:r>
      <w:r w:rsidRPr="00971BE3">
        <w:t>) does the radar detection on behalf of all the devices that have associated with it</w:t>
      </w:r>
      <w:r w:rsidR="00B0029A">
        <w:t xml:space="preserve"> (e.g. UEs or Wi-Fi stations)</w:t>
      </w:r>
      <w:r w:rsidRPr="00971BE3">
        <w:t xml:space="preserve">. </w:t>
      </w:r>
      <w:r w:rsidR="00B0029A">
        <w:t>If the master device detects presence of radar signals, it’d administer that all the associated client devices</w:t>
      </w:r>
      <w:r w:rsidR="00B0029A" w:rsidRPr="00971BE3">
        <w:t xml:space="preserve"> </w:t>
      </w:r>
      <w:r w:rsidR="00B0029A">
        <w:t xml:space="preserve">vacate the channel subject to the radar signal presence. </w:t>
      </w:r>
      <w:r w:rsidRPr="00971BE3">
        <w:t xml:space="preserve">If a client device loses connection to the master device, it shall not transmit anything to gain access to its master node or another master node in the same channel (or another channel that requires DFS capability). The communications between master node and clients has to be sufficiently fast to meet the requirement that the device may only transmit for a total of Channel Closing Transmission Time during a period of Channel Move Time after detection of a radar signal. </w:t>
      </w:r>
      <w:r w:rsidR="0039641B">
        <w:t xml:space="preserve">In summary, channel move time is less than 10 seconds, but the normal communication between the master and slave devices should be less than 200ms [2]. </w:t>
      </w:r>
      <w:r w:rsidRPr="00971BE3">
        <w:t>A relatively slow connection will leave the master node little time for coordinating channel changes with its clients.</w:t>
      </w:r>
    </w:p>
    <w:p w14:paraId="7A93E8D5" w14:textId="4C7B510D" w:rsidR="00D60516" w:rsidRDefault="00D60516" w:rsidP="00D60516">
      <w:pPr>
        <w:pStyle w:val="Heading1"/>
      </w:pPr>
      <w:r>
        <w:lastRenderedPageBreak/>
        <w:t>3</w:t>
      </w:r>
      <w:r>
        <w:tab/>
        <w:t>NR-U operation in 5GHz spectrum</w:t>
      </w:r>
    </w:p>
    <w:p w14:paraId="63D86CD0" w14:textId="6AC57363" w:rsidR="00E67AF1" w:rsidRDefault="00E67AF1" w:rsidP="00E67AF1">
      <w:pPr>
        <w:spacing w:after="120"/>
        <w:jc w:val="both"/>
      </w:pPr>
      <w:r>
        <w:t>NR operation in unlicensed spectrum is subject to LBT requirement [1]. However, LBT mechanism, while is required in the entire 5GHz spectrum, is not effective in detecting radar signals which are narrowband in frequency and appear in pulses [3]. The radar detection mechanism is a more effective mechanism to detect and protect radar signals. Regardless of effectiveness or ineffectiveness of LBT in detection of radar signals, the regulatory requirements are what NR-U devices have to follow which require implementation of DFS procedure.</w:t>
      </w:r>
    </w:p>
    <w:p w14:paraId="0916504B" w14:textId="506ED5CE" w:rsidR="00323A51" w:rsidRDefault="00C82B42" w:rsidP="00E6716D">
      <w:pPr>
        <w:spacing w:after="120"/>
        <w:jc w:val="both"/>
      </w:pPr>
      <w:r>
        <w:t xml:space="preserve">It is noteworthy, that </w:t>
      </w:r>
      <w:r w:rsidR="00E67AF1">
        <w:t>DFS</w:t>
      </w:r>
      <w:r>
        <w:t xml:space="preserve"> requirement is applicable for each technology operating in the radar channels in 5GHz spectrum, e.g. IEEE 802.11, 3GPP LTE LAA, and 3GPP NR-U. In IEEE 802.11, there are mechanisms in place to perform above-described mechanism. In LTE LAA, since operation in unlicensed spectrum is limited to SCell, an eNB has the flexibility to deactivate an SCell if radar signals</w:t>
      </w:r>
      <w:r w:rsidR="0011589E">
        <w:t xml:space="preserve"> are detected</w:t>
      </w:r>
      <w:r>
        <w:t xml:space="preserve"> in the channel of the operation of the SCell. For most of </w:t>
      </w:r>
      <w:r w:rsidR="00B81418">
        <w:t>NR-U</w:t>
      </w:r>
      <w:r>
        <w:t xml:space="preserve"> deployment scenarios, a gNB may do similar</w:t>
      </w:r>
      <w:r w:rsidR="0011589E">
        <w:t>ly</w:t>
      </w:r>
      <w:r>
        <w:t xml:space="preserve"> to what an eNB do</w:t>
      </w:r>
      <w:r w:rsidR="0011589E">
        <w:t>es</w:t>
      </w:r>
      <w:r>
        <w:t xml:space="preserve"> in case of radar detection. However, in NR-U standalone deployment, where all PSell and SCell(s) operate in unlicensed spectrum, </w:t>
      </w:r>
      <w:r w:rsidR="00B81418">
        <w:t xml:space="preserve">the </w:t>
      </w:r>
      <w:r>
        <w:t xml:space="preserve">gNB may be required to do more in case of radar signal detection.    </w:t>
      </w:r>
      <w:r w:rsidR="00323A51">
        <w:t xml:space="preserve"> </w:t>
      </w:r>
    </w:p>
    <w:p w14:paraId="2958D0DB" w14:textId="18B398A8" w:rsidR="00B81418" w:rsidRDefault="00B81418" w:rsidP="00B81418">
      <w:pPr>
        <w:jc w:val="both"/>
      </w:pPr>
      <w:r>
        <w:rPr>
          <w:b/>
        </w:rPr>
        <w:t>Observation</w:t>
      </w:r>
      <w:r w:rsidRPr="00CC34FC">
        <w:rPr>
          <w:b/>
        </w:rPr>
        <w:t xml:space="preserve"> </w:t>
      </w:r>
      <w:r>
        <w:rPr>
          <w:b/>
        </w:rPr>
        <w:t>1</w:t>
      </w:r>
      <w:r w:rsidRPr="00CC34FC">
        <w:rPr>
          <w:b/>
        </w:rPr>
        <w:t xml:space="preserve">: </w:t>
      </w:r>
      <w:r>
        <w:t xml:space="preserve">For NR-U deployment scenarios where PCell operates in licensed spectrum, a gNB has the flexibility to deactivate an SCell if radar signals </w:t>
      </w:r>
      <w:r w:rsidR="0011589E">
        <w:t>are</w:t>
      </w:r>
      <w:r>
        <w:t xml:space="preserve"> detected in the channel of the operation of th</w:t>
      </w:r>
      <w:r w:rsidR="00196B8C">
        <w:t>e</w:t>
      </w:r>
      <w:r>
        <w:t xml:space="preserve"> SCell. However, in NR-U standalone deployment, where all PSell and SCell(s) operate in unlicensed spectrum, the gNB may be required to do more in case of radar signal detection</w:t>
      </w:r>
      <w:r w:rsidR="00D71D32">
        <w:t>.</w:t>
      </w:r>
    </w:p>
    <w:p w14:paraId="754525DE" w14:textId="15723E71" w:rsidR="00AD67D3" w:rsidRDefault="00AD67D3" w:rsidP="00AD67D3">
      <w:pPr>
        <w:jc w:val="both"/>
      </w:pPr>
      <w:r w:rsidRPr="00AD67D3">
        <w:t xml:space="preserve">Because NR-U is a synchronous scheduled system, an NR-U UE cannot initiate transmissions without the knowledge of gNB. Therefore, it is sufficient to assume that detection of radar signals is only performed at the gNB. It then becomes gNB’s responsibility to convey the expected behaviour (after radar detection) to UEs under its control. </w:t>
      </w:r>
    </w:p>
    <w:p w14:paraId="0A3A2A46" w14:textId="77777777" w:rsidR="00161DC4" w:rsidRDefault="00AD67D3" w:rsidP="00AD67D3">
      <w:pPr>
        <w:jc w:val="both"/>
      </w:pPr>
      <w:r w:rsidRPr="00513CC5">
        <w:t xml:space="preserve">For UEs in RRC_CONNECTED state, normal handover mechanism is considered sufficient to provide the necessary information for UE in active transmission/reception to </w:t>
      </w:r>
      <w:r w:rsidR="00196B8C">
        <w:t>move</w:t>
      </w:r>
      <w:r w:rsidRPr="00513CC5">
        <w:t xml:space="preserve"> the transmission/reception to </w:t>
      </w:r>
      <w:r w:rsidR="00196B8C">
        <w:t>channels</w:t>
      </w:r>
      <w:r w:rsidRPr="00513CC5">
        <w:t xml:space="preserve"> </w:t>
      </w:r>
      <w:r w:rsidR="00196B8C">
        <w:t>without radar signal presence</w:t>
      </w:r>
      <w:r w:rsidRPr="00513CC5">
        <w:t>.</w:t>
      </w:r>
      <w:r w:rsidR="00482322" w:rsidRPr="00513CC5">
        <w:t xml:space="preserve"> </w:t>
      </w:r>
      <w:r w:rsidRPr="00513CC5">
        <w:t>However, no mechanism currently exists to inform UEs in RRC_IDLE or RRC_INACTIVE of such radar detection event and the expected actions from the UEs</w:t>
      </w:r>
      <w:r w:rsidR="00482322" w:rsidRPr="00513CC5">
        <w:t>. Without a proper mechanism, in the event of radar signal</w:t>
      </w:r>
      <w:r w:rsidR="00196B8C">
        <w:t xml:space="preserve"> detection</w:t>
      </w:r>
      <w:r w:rsidR="00482322" w:rsidRPr="00513CC5">
        <w:t>, a gNB would vacate the channel and a UE in idle or inactive modes eventually would end up performing RLF which is not a desired outcome</w:t>
      </w:r>
      <w:r w:rsidRPr="00513CC5">
        <w:t>.</w:t>
      </w:r>
      <w:r w:rsidR="00513CC5" w:rsidRPr="00513CC5">
        <w:t xml:space="preserve"> </w:t>
      </w:r>
    </w:p>
    <w:p w14:paraId="3797409F" w14:textId="77777777" w:rsidR="00161DC4" w:rsidRPr="00513CC5" w:rsidRDefault="00161DC4" w:rsidP="00161DC4">
      <w:pPr>
        <w:jc w:val="both"/>
      </w:pPr>
      <w:r w:rsidRPr="00513CC5">
        <w:t>We propose that RAN2 considers development of a mechanism so that a gNB, deployed in standalone NR-U mode, is equipped to handle the events described above</w:t>
      </w:r>
    </w:p>
    <w:p w14:paraId="46CE5168" w14:textId="5204707F" w:rsidR="00482322" w:rsidRPr="00513CC5" w:rsidRDefault="00161DC4" w:rsidP="00AD67D3">
      <w:pPr>
        <w:jc w:val="both"/>
      </w:pPr>
      <w:r>
        <w:t>It is noteworthy that while the motivation of this topic is due to DFS regulatory requirement in 5GHz unlicensed spectrum, any</w:t>
      </w:r>
      <w:r w:rsidR="00513CC5" w:rsidRPr="00513CC5">
        <w:t xml:space="preserve"> mechanism </w:t>
      </w:r>
      <w:r>
        <w:t xml:space="preserve">that RAN2 proposes </w:t>
      </w:r>
      <w:r w:rsidR="00513CC5" w:rsidRPr="00513CC5">
        <w:t xml:space="preserve">may also be used when a gNB wants to change its operational channel due to changes in channel usage by competing devices (e.g. </w:t>
      </w:r>
      <w:r>
        <w:t>NR-U/</w:t>
      </w:r>
      <w:r w:rsidR="00513CC5" w:rsidRPr="00513CC5">
        <w:t>LAA/WiFi nodes)</w:t>
      </w:r>
      <w:r>
        <w:t xml:space="preserve">. While such mechanism is unnecessary in licensed operation, in NR-U operation and particularly standalone deployment, competition to use the free unlicensed spectrum may cause high density of unlicensed devices, e.g. in urban environments or crowded venues such as malls and airports. Hence such capability helps a gNB to </w:t>
      </w:r>
      <w:r w:rsidR="00CE2EBB">
        <w:t xml:space="preserve">continuously evaluate and choose the best channel for NR-U operation </w:t>
      </w:r>
      <w:r>
        <w:t>and transfer its associated UEs smoothly to a less crowded channel</w:t>
      </w:r>
      <w:r w:rsidR="00513CC5" w:rsidRPr="00513CC5">
        <w:t xml:space="preserve">. </w:t>
      </w:r>
    </w:p>
    <w:p w14:paraId="2E64E646" w14:textId="77777777" w:rsidR="00AA63D9" w:rsidRDefault="00AA63D9" w:rsidP="00AA63D9">
      <w:pPr>
        <w:jc w:val="both"/>
      </w:pPr>
      <w:r w:rsidRPr="00513CC5">
        <w:rPr>
          <w:b/>
        </w:rPr>
        <w:t>Proposal 1:</w:t>
      </w:r>
      <w:r w:rsidRPr="00513CC5">
        <w:t xml:space="preserve"> RAN2 </w:t>
      </w:r>
      <w:r>
        <w:t xml:space="preserve">to </w:t>
      </w:r>
      <w:r w:rsidRPr="00513CC5">
        <w:t xml:space="preserve">consider development of a mechanism so that a gNB, deployed in standalone NR-U mode, is equipped to </w:t>
      </w:r>
      <w:r>
        <w:t>perform effectively</w:t>
      </w:r>
      <w:r w:rsidRPr="00513CC5">
        <w:t xml:space="preserve"> the </w:t>
      </w:r>
      <w:r>
        <w:t xml:space="preserve">regulatory requirement such as DFS in the </w:t>
      </w:r>
      <w:r w:rsidRPr="00513CC5">
        <w:t xml:space="preserve">event </w:t>
      </w:r>
      <w:r>
        <w:t>of detection of incumbent technologies protected by regulators</w:t>
      </w:r>
      <w:r w:rsidRPr="00513CC5">
        <w:t>.</w:t>
      </w:r>
    </w:p>
    <w:p w14:paraId="17EFA37C" w14:textId="5B0F457F" w:rsidR="001E2FF6" w:rsidRPr="006E13D1" w:rsidRDefault="00E67AF1" w:rsidP="001E2FF6">
      <w:pPr>
        <w:pStyle w:val="Heading1"/>
      </w:pPr>
      <w:r>
        <w:t>4</w:t>
      </w:r>
      <w:r w:rsidR="001E2FF6" w:rsidRPr="006E13D1">
        <w:tab/>
      </w:r>
      <w:r w:rsidR="001E2FF6">
        <w:t>Conclusions</w:t>
      </w:r>
    </w:p>
    <w:p w14:paraId="5F5F9C71" w14:textId="1EA314DA" w:rsidR="001E2FF6" w:rsidRDefault="00D71D32" w:rsidP="00026992">
      <w:pPr>
        <w:jc w:val="both"/>
      </w:pPr>
      <w:r>
        <w:t xml:space="preserve">In this contribution, we highlight issues related to operation in portions of 5GHz spectrum that is subject to </w:t>
      </w:r>
      <w:r w:rsidR="00026992">
        <w:t xml:space="preserve">requirements beyond LBT and particular to </w:t>
      </w:r>
      <w:r w:rsidR="004F0CCF">
        <w:t>incumbent</w:t>
      </w:r>
      <w:r w:rsidR="00026992">
        <w:t xml:space="preserve"> technologies such as weather radars. </w:t>
      </w:r>
      <w:r w:rsidR="00C3056B">
        <w:t xml:space="preserve">We have </w:t>
      </w:r>
      <w:r w:rsidR="00026992">
        <w:t>observed</w:t>
      </w:r>
      <w:r w:rsidR="00C3056B">
        <w:t xml:space="preserve"> the following:</w:t>
      </w:r>
    </w:p>
    <w:p w14:paraId="22B04107" w14:textId="77777777" w:rsidR="00196B8C" w:rsidRDefault="00196B8C" w:rsidP="00196B8C">
      <w:pPr>
        <w:jc w:val="both"/>
      </w:pPr>
      <w:r>
        <w:rPr>
          <w:b/>
        </w:rPr>
        <w:t>Observation</w:t>
      </w:r>
      <w:r w:rsidRPr="00CC34FC">
        <w:rPr>
          <w:b/>
        </w:rPr>
        <w:t xml:space="preserve"> </w:t>
      </w:r>
      <w:r>
        <w:rPr>
          <w:b/>
        </w:rPr>
        <w:t>1</w:t>
      </w:r>
      <w:r w:rsidRPr="00CC34FC">
        <w:rPr>
          <w:b/>
        </w:rPr>
        <w:t xml:space="preserve">: </w:t>
      </w:r>
      <w:r>
        <w:t xml:space="preserve">For NR-U deployment scenarios where PCell operates in licensed spectrum, a gNB has the flexibility to deactivate an SCell if radar signals are detected in the channel of the operation of the SCell. However, in NR-U </w:t>
      </w:r>
      <w:r>
        <w:lastRenderedPageBreak/>
        <w:t>standalone deployment, where all PSell and SCell(s) operate in unlicensed spectrum, the gNB may be required to do more in case of radar signal detection.</w:t>
      </w:r>
    </w:p>
    <w:p w14:paraId="1D1F768C" w14:textId="52B95080" w:rsidR="00513CC5" w:rsidRDefault="00513CC5" w:rsidP="00D71D32">
      <w:pPr>
        <w:jc w:val="both"/>
      </w:pPr>
      <w:r w:rsidRPr="00513CC5">
        <w:rPr>
          <w:b/>
        </w:rPr>
        <w:t>Proposal 1:</w:t>
      </w:r>
      <w:r w:rsidRPr="00513CC5">
        <w:t xml:space="preserve"> </w:t>
      </w:r>
      <w:r w:rsidR="00BC1DAA" w:rsidRPr="00513CC5">
        <w:t xml:space="preserve">RAN2 </w:t>
      </w:r>
      <w:r w:rsidR="00AA63D9">
        <w:t xml:space="preserve">to </w:t>
      </w:r>
      <w:r w:rsidR="00BC1DAA" w:rsidRPr="00513CC5">
        <w:t xml:space="preserve">consider development of a mechanism so that a gNB, deployed in standalone NR-U mode, is equipped to </w:t>
      </w:r>
      <w:r w:rsidR="00AA63D9">
        <w:t>perform effectively</w:t>
      </w:r>
      <w:r w:rsidR="00BC1DAA" w:rsidRPr="00513CC5">
        <w:t xml:space="preserve"> the </w:t>
      </w:r>
      <w:r w:rsidR="00AA63D9">
        <w:t xml:space="preserve">regulatory requirement such as DFS in the </w:t>
      </w:r>
      <w:r w:rsidR="00BC1DAA" w:rsidRPr="00513CC5">
        <w:t xml:space="preserve">event </w:t>
      </w:r>
      <w:r w:rsidR="00AA63D9">
        <w:t>of</w:t>
      </w:r>
      <w:r w:rsidR="00BC1DAA">
        <w:t xml:space="preserve"> </w:t>
      </w:r>
      <w:r w:rsidR="00AA63D9">
        <w:t xml:space="preserve">detection of </w:t>
      </w:r>
      <w:r w:rsidR="00BC1DAA">
        <w:t xml:space="preserve">incumbent technologies </w:t>
      </w:r>
      <w:r w:rsidR="00AA63D9">
        <w:t>protected by regulators</w:t>
      </w:r>
      <w:r w:rsidR="00BC1DAA" w:rsidRPr="00513CC5">
        <w:t>.</w:t>
      </w:r>
    </w:p>
    <w:p w14:paraId="34F76828" w14:textId="77777777" w:rsidR="001E2FF6" w:rsidRPr="006E13D1" w:rsidRDefault="001E2FF6" w:rsidP="001E2FF6">
      <w:pPr>
        <w:pStyle w:val="Heading1"/>
      </w:pPr>
      <w:r>
        <w:t>References</w:t>
      </w:r>
    </w:p>
    <w:p w14:paraId="7D8B3836" w14:textId="435E4F83"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614A107D" w14:textId="00668314" w:rsidR="001E2FF6" w:rsidRDefault="00466C7C" w:rsidP="001E2FF6">
      <w:pPr>
        <w:pStyle w:val="Reference"/>
        <w:rPr>
          <w:rFonts w:ascii="Times New Roman" w:hAnsi="Times New Roman" w:cs="Times New Roman"/>
          <w:sz w:val="22"/>
        </w:rPr>
      </w:pPr>
      <w:r>
        <w:rPr>
          <w:rFonts w:ascii="Times New Roman" w:hAnsi="Times New Roman" w:cs="Times New Roman"/>
          <w:sz w:val="22"/>
        </w:rPr>
        <w:t xml:space="preserve">3GPP </w:t>
      </w:r>
      <w:r w:rsidR="00AE2E3A">
        <w:rPr>
          <w:rFonts w:ascii="Times New Roman" w:hAnsi="Times New Roman" w:cs="Times New Roman"/>
          <w:sz w:val="22"/>
        </w:rPr>
        <w:t>T</w:t>
      </w:r>
      <w:r>
        <w:rPr>
          <w:rFonts w:ascii="Times New Roman" w:hAnsi="Times New Roman" w:cs="Times New Roman"/>
          <w:sz w:val="22"/>
        </w:rPr>
        <w:t xml:space="preserve">R 38.889, </w:t>
      </w:r>
      <w:r w:rsidRPr="00466C7C">
        <w:rPr>
          <w:rFonts w:ascii="Times New Roman" w:hAnsi="Times New Roman" w:cs="Times New Roman"/>
          <w:sz w:val="22"/>
        </w:rPr>
        <w:t>Study on NR-based Access to Unlicensed Spectrum</w:t>
      </w:r>
      <w:r>
        <w:rPr>
          <w:rFonts w:ascii="Times New Roman" w:hAnsi="Times New Roman" w:cs="Times New Roman"/>
          <w:sz w:val="22"/>
        </w:rPr>
        <w:t xml:space="preserve"> (Release 16)</w:t>
      </w:r>
      <w:r w:rsidRPr="00466C7C">
        <w:rPr>
          <w:rFonts w:ascii="Times New Roman" w:hAnsi="Times New Roman" w:cs="Times New Roman"/>
          <w:sz w:val="22"/>
        </w:rPr>
        <w:t xml:space="preserve"> </w:t>
      </w:r>
    </w:p>
    <w:p w14:paraId="3190B6CB" w14:textId="2393AE32" w:rsidR="0032241C" w:rsidRPr="0011589E" w:rsidRDefault="0032241C" w:rsidP="0011589E">
      <w:pPr>
        <w:pStyle w:val="Reference"/>
        <w:rPr>
          <w:rFonts w:ascii="Times New Roman" w:hAnsi="Times New Roman" w:cs="Times New Roman"/>
          <w:sz w:val="22"/>
          <w:szCs w:val="22"/>
        </w:rPr>
      </w:pPr>
      <w:r w:rsidRPr="0011589E">
        <w:rPr>
          <w:rFonts w:ascii="Times New Roman" w:hAnsi="Times New Roman" w:cs="Times New Roman"/>
          <w:sz w:val="22"/>
          <w:szCs w:val="22"/>
        </w:rPr>
        <w:t>Spectrum Sharing in the 5 GHz Band DFS Best Practices</w:t>
      </w:r>
      <w:r w:rsidR="0011589E" w:rsidRPr="0011589E">
        <w:rPr>
          <w:rFonts w:ascii="Times New Roman" w:hAnsi="Times New Roman" w:cs="Times New Roman"/>
          <w:sz w:val="22"/>
          <w:szCs w:val="22"/>
        </w:rPr>
        <w:t xml:space="preserve">, The Wi-Fi Alliance Spectrum &amp; Regulatory Committee, Spectrum Sharing </w:t>
      </w:r>
      <w:r w:rsidR="00447108" w:rsidRPr="0011589E">
        <w:rPr>
          <w:rFonts w:ascii="Times New Roman" w:hAnsi="Times New Roman" w:cs="Times New Roman"/>
          <w:sz w:val="22"/>
          <w:szCs w:val="22"/>
        </w:rPr>
        <w:t>T</w:t>
      </w:r>
      <w:r w:rsidR="00447108">
        <w:rPr>
          <w:rFonts w:ascii="Times New Roman" w:hAnsi="Times New Roman" w:cs="Times New Roman"/>
          <w:sz w:val="22"/>
          <w:szCs w:val="22"/>
        </w:rPr>
        <w:t xml:space="preserve">ask </w:t>
      </w:r>
      <w:r w:rsidR="00447108" w:rsidRPr="0011589E">
        <w:rPr>
          <w:rFonts w:ascii="Times New Roman" w:hAnsi="Times New Roman" w:cs="Times New Roman"/>
          <w:sz w:val="22"/>
          <w:szCs w:val="22"/>
        </w:rPr>
        <w:t>G</w:t>
      </w:r>
      <w:r w:rsidR="00447108">
        <w:rPr>
          <w:rFonts w:ascii="Times New Roman" w:hAnsi="Times New Roman" w:cs="Times New Roman"/>
          <w:sz w:val="22"/>
          <w:szCs w:val="22"/>
        </w:rPr>
        <w:t>roup,</w:t>
      </w:r>
      <w:r w:rsidR="00447108" w:rsidRPr="0011589E">
        <w:rPr>
          <w:rFonts w:ascii="Times New Roman" w:hAnsi="Times New Roman" w:cs="Times New Roman"/>
          <w:sz w:val="22"/>
          <w:szCs w:val="22"/>
        </w:rPr>
        <w:t xml:space="preserve"> </w:t>
      </w:r>
      <w:r w:rsidR="0011589E" w:rsidRPr="0011589E">
        <w:rPr>
          <w:rFonts w:ascii="Times New Roman" w:hAnsi="Times New Roman" w:cs="Times New Roman"/>
          <w:sz w:val="22"/>
          <w:szCs w:val="22"/>
        </w:rPr>
        <w:t>and Regulatory T</w:t>
      </w:r>
      <w:r w:rsidR="00447108">
        <w:rPr>
          <w:rFonts w:ascii="Times New Roman" w:hAnsi="Times New Roman" w:cs="Times New Roman"/>
          <w:sz w:val="22"/>
          <w:szCs w:val="22"/>
        </w:rPr>
        <w:t xml:space="preserve">ask </w:t>
      </w:r>
      <w:r w:rsidR="0011589E" w:rsidRPr="0011589E">
        <w:rPr>
          <w:rFonts w:ascii="Times New Roman" w:hAnsi="Times New Roman" w:cs="Times New Roman"/>
          <w:sz w:val="22"/>
          <w:szCs w:val="22"/>
        </w:rPr>
        <w:t>G</w:t>
      </w:r>
      <w:r w:rsidR="00447108">
        <w:rPr>
          <w:rFonts w:ascii="Times New Roman" w:hAnsi="Times New Roman" w:cs="Times New Roman"/>
          <w:sz w:val="22"/>
          <w:szCs w:val="22"/>
        </w:rPr>
        <w:t>roup</w:t>
      </w:r>
      <w:r w:rsidR="0011589E" w:rsidRPr="0011589E">
        <w:rPr>
          <w:rFonts w:ascii="Times New Roman" w:hAnsi="Times New Roman" w:cs="Times New Roman"/>
          <w:sz w:val="22"/>
          <w:szCs w:val="22"/>
        </w:rPr>
        <w:t xml:space="preserve">. </w:t>
      </w:r>
      <w:r w:rsidR="00447108">
        <w:rPr>
          <w:rFonts w:ascii="Times New Roman" w:hAnsi="Times New Roman" w:cs="Times New Roman"/>
          <w:sz w:val="22"/>
          <w:szCs w:val="22"/>
        </w:rPr>
        <w:t xml:space="preserve">URL: </w:t>
      </w:r>
      <w:r w:rsidR="00447108" w:rsidRPr="00447108">
        <w:rPr>
          <w:rFonts w:ascii="Times New Roman" w:hAnsi="Times New Roman" w:cs="Times New Roman"/>
          <w:sz w:val="22"/>
          <w:szCs w:val="22"/>
        </w:rPr>
        <w:t>http://www.ieee802.org/18/Meeting_documents/2007_Nov/WFA-DFS-Best%20Practices.pdf</w:t>
      </w:r>
    </w:p>
    <w:p w14:paraId="5B37BEDF" w14:textId="77777777" w:rsidR="0011589E" w:rsidRDefault="0011589E" w:rsidP="0011589E">
      <w:pPr>
        <w:pStyle w:val="Reference"/>
        <w:rPr>
          <w:rFonts w:ascii="Times New Roman" w:hAnsi="Times New Roman" w:cs="Times New Roman"/>
          <w:sz w:val="22"/>
          <w:szCs w:val="22"/>
        </w:rPr>
      </w:pPr>
      <w:r w:rsidRPr="00CC680F">
        <w:rPr>
          <w:rFonts w:ascii="Times New Roman" w:hAnsi="Times New Roman" w:cs="Times New Roman"/>
          <w:sz w:val="22"/>
          <w:szCs w:val="22"/>
        </w:rPr>
        <w:t>3GPP TS 36.104: “E-UTRA</w:t>
      </w:r>
      <w:r>
        <w:rPr>
          <w:rFonts w:ascii="Times New Roman" w:hAnsi="Times New Roman" w:cs="Times New Roman"/>
          <w:sz w:val="22"/>
          <w:szCs w:val="22"/>
        </w:rPr>
        <w:t xml:space="preserve"> </w:t>
      </w:r>
      <w:r w:rsidRPr="00CC680F">
        <w:rPr>
          <w:rFonts w:ascii="Times New Roman" w:hAnsi="Times New Roman" w:cs="Times New Roman"/>
          <w:sz w:val="22"/>
          <w:szCs w:val="22"/>
        </w:rPr>
        <w:t>Base Station (BS) radio transmission and reception (Release 13)</w:t>
      </w:r>
    </w:p>
    <w:p w14:paraId="749D8D04" w14:textId="18C35ACF" w:rsidR="0011589E" w:rsidRDefault="0011589E" w:rsidP="0011589E">
      <w:pPr>
        <w:pStyle w:val="Reference"/>
        <w:rPr>
          <w:rFonts w:ascii="Times New Roman" w:hAnsi="Times New Roman" w:cs="Times New Roman"/>
          <w:sz w:val="22"/>
          <w:szCs w:val="22"/>
        </w:rPr>
      </w:pPr>
      <w:r>
        <w:rPr>
          <w:rFonts w:ascii="Times New Roman" w:hAnsi="Times New Roman" w:cs="Times New Roman"/>
          <w:sz w:val="22"/>
          <w:szCs w:val="22"/>
        </w:rPr>
        <w:t xml:space="preserve">3GPP TS 38.104: NR </w:t>
      </w:r>
      <w:r w:rsidRPr="00A82A56">
        <w:rPr>
          <w:rFonts w:ascii="Times New Roman" w:hAnsi="Times New Roman" w:cs="Times New Roman"/>
          <w:sz w:val="22"/>
          <w:szCs w:val="22"/>
        </w:rPr>
        <w:t>Base Station (BS) radio transmission and reception (Release 16)</w:t>
      </w:r>
    </w:p>
    <w:p w14:paraId="49E40CBB" w14:textId="144009E6" w:rsidR="00DB7600" w:rsidRPr="006E13D1" w:rsidRDefault="00DB7600" w:rsidP="00DB7600">
      <w:pPr>
        <w:pStyle w:val="Heading1"/>
      </w:pPr>
      <w:r>
        <w:t>Appendix</w:t>
      </w:r>
      <w:r w:rsidR="00233337">
        <w:t xml:space="preserve"> A</w:t>
      </w:r>
      <w:r>
        <w:t>: 5GHz Unlicensed Spectrum</w:t>
      </w:r>
    </w:p>
    <w:p w14:paraId="094E22B4" w14:textId="77777777" w:rsidR="00DB7600" w:rsidRPr="0007081D" w:rsidRDefault="00DB7600" w:rsidP="00DB7600">
      <w:pPr>
        <w:pStyle w:val="B2"/>
        <w:ind w:left="0" w:firstLine="0"/>
        <w:jc w:val="both"/>
        <w:rPr>
          <w:sz w:val="22"/>
          <w:szCs w:val="22"/>
          <w:lang w:eastAsia="ja-JP"/>
        </w:rPr>
      </w:pPr>
    </w:p>
    <w:p w14:paraId="4AABA34A" w14:textId="77777777" w:rsidR="00DB7600" w:rsidRDefault="00DB7600" w:rsidP="00DB7600">
      <w:pPr>
        <w:spacing w:after="120"/>
        <w:jc w:val="center"/>
      </w:pPr>
      <w:r>
        <w:rPr>
          <w:noProof/>
          <w:sz w:val="22"/>
          <w:szCs w:val="22"/>
          <w:lang w:val="en-US"/>
        </w:rPr>
        <w:drawing>
          <wp:inline distT="0" distB="0" distL="0" distR="0" wp14:anchorId="03E60DEC" wp14:editId="2BB0C5DE">
            <wp:extent cx="3164352" cy="136851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09-20 at 1.34.23 P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95093" cy="1381809"/>
                    </a:xfrm>
                    <a:prstGeom prst="rect">
                      <a:avLst/>
                    </a:prstGeom>
                  </pic:spPr>
                </pic:pic>
              </a:graphicData>
            </a:graphic>
          </wp:inline>
        </w:drawing>
      </w:r>
    </w:p>
    <w:p w14:paraId="159600F3" w14:textId="5CFF43E6" w:rsidR="00DB7600" w:rsidRDefault="00DB7600" w:rsidP="00DB7600">
      <w:pPr>
        <w:spacing w:after="120"/>
        <w:jc w:val="center"/>
      </w:pPr>
      <w:r>
        <w:t xml:space="preserve">Table 1: Sub-band for Band 46 (5GHz) [4] </w:t>
      </w:r>
    </w:p>
    <w:p w14:paraId="79961208" w14:textId="77777777" w:rsidR="00DB7600" w:rsidRDefault="00DB7600" w:rsidP="00DB7600">
      <w:pPr>
        <w:spacing w:after="120"/>
      </w:pPr>
    </w:p>
    <w:p w14:paraId="36AF2E8A" w14:textId="20A4F58A" w:rsidR="00DB7600" w:rsidRDefault="008713FF" w:rsidP="00DB7600">
      <w:pPr>
        <w:spacing w:after="120"/>
        <w:jc w:val="center"/>
      </w:pPr>
      <w:r w:rsidRPr="00C64ECB">
        <w:rPr>
          <w:noProof/>
          <w:lang w:val="en-US" w:eastAsia="zh-CN"/>
        </w:rPr>
        <w:drawing>
          <wp:inline distT="0" distB="0" distL="0" distR="0" wp14:anchorId="736C7BEE" wp14:editId="0A2A25CF">
            <wp:extent cx="5943600" cy="941389"/>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941389"/>
                    </a:xfrm>
                    <a:prstGeom prst="rect">
                      <a:avLst/>
                    </a:prstGeom>
                    <a:noFill/>
                    <a:ln>
                      <a:noFill/>
                    </a:ln>
                  </pic:spPr>
                </pic:pic>
              </a:graphicData>
            </a:graphic>
          </wp:inline>
        </w:drawing>
      </w:r>
    </w:p>
    <w:p w14:paraId="799929D0" w14:textId="0033C2DD" w:rsidR="00DB7600" w:rsidRDefault="00DB7600" w:rsidP="00DB7600">
      <w:pPr>
        <w:spacing w:after="120"/>
        <w:jc w:val="center"/>
      </w:pPr>
      <w:r>
        <w:t xml:space="preserve">Figure 1: </w:t>
      </w:r>
      <w:r w:rsidR="008713FF" w:rsidRPr="00C64ECB">
        <w:t>Summary of existing and proposed new FCC part 15 rules</w:t>
      </w:r>
      <w:r w:rsidR="008713FF" w:rsidRPr="00C64ECB">
        <w:rPr>
          <w:noProof/>
        </w:rPr>
        <w:t xml:space="preserve"> for 5GHz unlicensed spectrum usage</w:t>
      </w:r>
      <w:r w:rsidR="008713FF">
        <w:t xml:space="preserve"> </w:t>
      </w:r>
      <w:r>
        <w:t>[</w:t>
      </w:r>
      <w:r w:rsidR="008713FF">
        <w:t>2</w:t>
      </w:r>
      <w:r>
        <w:t>]</w:t>
      </w:r>
    </w:p>
    <w:p w14:paraId="197F7624" w14:textId="77777777" w:rsidR="00DB7600" w:rsidRPr="0011589E" w:rsidRDefault="00DB7600" w:rsidP="00DB7600">
      <w:pPr>
        <w:pStyle w:val="Reference"/>
        <w:numPr>
          <w:ilvl w:val="0"/>
          <w:numId w:val="0"/>
        </w:numPr>
        <w:ind w:left="567" w:hanging="567"/>
        <w:rPr>
          <w:rFonts w:ascii="Times New Roman" w:hAnsi="Times New Roman" w:cs="Times New Roman"/>
          <w:sz w:val="22"/>
          <w:szCs w:val="22"/>
        </w:rPr>
      </w:pPr>
    </w:p>
    <w:sectPr w:rsidR="00DB7600" w:rsidRPr="0011589E"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90235"/>
    <w:multiLevelType w:val="hybridMultilevel"/>
    <w:tmpl w:val="A4D05DE0"/>
    <w:lvl w:ilvl="0" w:tplc="D45EC33C">
      <w:start w:val="1"/>
      <w:numFmt w:val="bullet"/>
      <w:lvlText w:val="•"/>
      <w:lvlJc w:val="left"/>
      <w:pPr>
        <w:tabs>
          <w:tab w:val="num" w:pos="720"/>
        </w:tabs>
        <w:ind w:left="720" w:hanging="360"/>
      </w:pPr>
      <w:rPr>
        <w:rFonts w:ascii="Arial" w:hAnsi="Arial" w:hint="default"/>
      </w:rPr>
    </w:lvl>
    <w:lvl w:ilvl="1" w:tplc="6AF0D5E6" w:tentative="1">
      <w:start w:val="1"/>
      <w:numFmt w:val="bullet"/>
      <w:lvlText w:val="•"/>
      <w:lvlJc w:val="left"/>
      <w:pPr>
        <w:tabs>
          <w:tab w:val="num" w:pos="1440"/>
        </w:tabs>
        <w:ind w:left="1440" w:hanging="360"/>
      </w:pPr>
      <w:rPr>
        <w:rFonts w:ascii="Arial" w:hAnsi="Arial" w:hint="default"/>
      </w:rPr>
    </w:lvl>
    <w:lvl w:ilvl="2" w:tplc="58369948" w:tentative="1">
      <w:start w:val="1"/>
      <w:numFmt w:val="bullet"/>
      <w:lvlText w:val="•"/>
      <w:lvlJc w:val="left"/>
      <w:pPr>
        <w:tabs>
          <w:tab w:val="num" w:pos="2160"/>
        </w:tabs>
        <w:ind w:left="2160" w:hanging="360"/>
      </w:pPr>
      <w:rPr>
        <w:rFonts w:ascii="Arial" w:hAnsi="Arial" w:hint="default"/>
      </w:rPr>
    </w:lvl>
    <w:lvl w:ilvl="3" w:tplc="EA9E2E20" w:tentative="1">
      <w:start w:val="1"/>
      <w:numFmt w:val="bullet"/>
      <w:lvlText w:val="•"/>
      <w:lvlJc w:val="left"/>
      <w:pPr>
        <w:tabs>
          <w:tab w:val="num" w:pos="2880"/>
        </w:tabs>
        <w:ind w:left="2880" w:hanging="360"/>
      </w:pPr>
      <w:rPr>
        <w:rFonts w:ascii="Arial" w:hAnsi="Arial" w:hint="default"/>
      </w:rPr>
    </w:lvl>
    <w:lvl w:ilvl="4" w:tplc="FB2C6FA6" w:tentative="1">
      <w:start w:val="1"/>
      <w:numFmt w:val="bullet"/>
      <w:lvlText w:val="•"/>
      <w:lvlJc w:val="left"/>
      <w:pPr>
        <w:tabs>
          <w:tab w:val="num" w:pos="3600"/>
        </w:tabs>
        <w:ind w:left="3600" w:hanging="360"/>
      </w:pPr>
      <w:rPr>
        <w:rFonts w:ascii="Arial" w:hAnsi="Arial" w:hint="default"/>
      </w:rPr>
    </w:lvl>
    <w:lvl w:ilvl="5" w:tplc="CAB035BA" w:tentative="1">
      <w:start w:val="1"/>
      <w:numFmt w:val="bullet"/>
      <w:lvlText w:val="•"/>
      <w:lvlJc w:val="left"/>
      <w:pPr>
        <w:tabs>
          <w:tab w:val="num" w:pos="4320"/>
        </w:tabs>
        <w:ind w:left="4320" w:hanging="360"/>
      </w:pPr>
      <w:rPr>
        <w:rFonts w:ascii="Arial" w:hAnsi="Arial" w:hint="default"/>
      </w:rPr>
    </w:lvl>
    <w:lvl w:ilvl="6" w:tplc="871CCE7E" w:tentative="1">
      <w:start w:val="1"/>
      <w:numFmt w:val="bullet"/>
      <w:lvlText w:val="•"/>
      <w:lvlJc w:val="left"/>
      <w:pPr>
        <w:tabs>
          <w:tab w:val="num" w:pos="5040"/>
        </w:tabs>
        <w:ind w:left="5040" w:hanging="360"/>
      </w:pPr>
      <w:rPr>
        <w:rFonts w:ascii="Arial" w:hAnsi="Arial" w:hint="default"/>
      </w:rPr>
    </w:lvl>
    <w:lvl w:ilvl="7" w:tplc="6BAC2370" w:tentative="1">
      <w:start w:val="1"/>
      <w:numFmt w:val="bullet"/>
      <w:lvlText w:val="•"/>
      <w:lvlJc w:val="left"/>
      <w:pPr>
        <w:tabs>
          <w:tab w:val="num" w:pos="5760"/>
        </w:tabs>
        <w:ind w:left="5760" w:hanging="360"/>
      </w:pPr>
      <w:rPr>
        <w:rFonts w:ascii="Arial" w:hAnsi="Arial" w:hint="default"/>
      </w:rPr>
    </w:lvl>
    <w:lvl w:ilvl="8" w:tplc="040803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357BC6"/>
    <w:multiLevelType w:val="hybridMultilevel"/>
    <w:tmpl w:val="45AAE86E"/>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D4019"/>
    <w:multiLevelType w:val="hybridMultilevel"/>
    <w:tmpl w:val="7584EAE0"/>
    <w:lvl w:ilvl="0" w:tplc="19FC4F1E">
      <w:start w:val="1"/>
      <w:numFmt w:val="bullet"/>
      <w:lvlText w:val="•"/>
      <w:lvlJc w:val="left"/>
      <w:pPr>
        <w:tabs>
          <w:tab w:val="num" w:pos="720"/>
        </w:tabs>
        <w:ind w:left="720" w:hanging="360"/>
      </w:pPr>
      <w:rPr>
        <w:rFonts w:ascii="Arial" w:hAnsi="Arial" w:hint="default"/>
      </w:rPr>
    </w:lvl>
    <w:lvl w:ilvl="1" w:tplc="AD88C79A" w:tentative="1">
      <w:start w:val="1"/>
      <w:numFmt w:val="bullet"/>
      <w:lvlText w:val="•"/>
      <w:lvlJc w:val="left"/>
      <w:pPr>
        <w:tabs>
          <w:tab w:val="num" w:pos="1440"/>
        </w:tabs>
        <w:ind w:left="1440" w:hanging="360"/>
      </w:pPr>
      <w:rPr>
        <w:rFonts w:ascii="Arial" w:hAnsi="Arial" w:hint="default"/>
      </w:rPr>
    </w:lvl>
    <w:lvl w:ilvl="2" w:tplc="DBA4C276" w:tentative="1">
      <w:start w:val="1"/>
      <w:numFmt w:val="bullet"/>
      <w:lvlText w:val="•"/>
      <w:lvlJc w:val="left"/>
      <w:pPr>
        <w:tabs>
          <w:tab w:val="num" w:pos="2160"/>
        </w:tabs>
        <w:ind w:left="2160" w:hanging="360"/>
      </w:pPr>
      <w:rPr>
        <w:rFonts w:ascii="Arial" w:hAnsi="Arial" w:hint="default"/>
      </w:rPr>
    </w:lvl>
    <w:lvl w:ilvl="3" w:tplc="D32603BE" w:tentative="1">
      <w:start w:val="1"/>
      <w:numFmt w:val="bullet"/>
      <w:lvlText w:val="•"/>
      <w:lvlJc w:val="left"/>
      <w:pPr>
        <w:tabs>
          <w:tab w:val="num" w:pos="2880"/>
        </w:tabs>
        <w:ind w:left="2880" w:hanging="360"/>
      </w:pPr>
      <w:rPr>
        <w:rFonts w:ascii="Arial" w:hAnsi="Arial" w:hint="default"/>
      </w:rPr>
    </w:lvl>
    <w:lvl w:ilvl="4" w:tplc="FC725E38" w:tentative="1">
      <w:start w:val="1"/>
      <w:numFmt w:val="bullet"/>
      <w:lvlText w:val="•"/>
      <w:lvlJc w:val="left"/>
      <w:pPr>
        <w:tabs>
          <w:tab w:val="num" w:pos="3600"/>
        </w:tabs>
        <w:ind w:left="3600" w:hanging="360"/>
      </w:pPr>
      <w:rPr>
        <w:rFonts w:ascii="Arial" w:hAnsi="Arial" w:hint="default"/>
      </w:rPr>
    </w:lvl>
    <w:lvl w:ilvl="5" w:tplc="E5D00F6A" w:tentative="1">
      <w:start w:val="1"/>
      <w:numFmt w:val="bullet"/>
      <w:lvlText w:val="•"/>
      <w:lvlJc w:val="left"/>
      <w:pPr>
        <w:tabs>
          <w:tab w:val="num" w:pos="4320"/>
        </w:tabs>
        <w:ind w:left="4320" w:hanging="360"/>
      </w:pPr>
      <w:rPr>
        <w:rFonts w:ascii="Arial" w:hAnsi="Arial" w:hint="default"/>
      </w:rPr>
    </w:lvl>
    <w:lvl w:ilvl="6" w:tplc="A810E958" w:tentative="1">
      <w:start w:val="1"/>
      <w:numFmt w:val="bullet"/>
      <w:lvlText w:val="•"/>
      <w:lvlJc w:val="left"/>
      <w:pPr>
        <w:tabs>
          <w:tab w:val="num" w:pos="5040"/>
        </w:tabs>
        <w:ind w:left="5040" w:hanging="360"/>
      </w:pPr>
      <w:rPr>
        <w:rFonts w:ascii="Arial" w:hAnsi="Arial" w:hint="default"/>
      </w:rPr>
    </w:lvl>
    <w:lvl w:ilvl="7" w:tplc="7C4C072A" w:tentative="1">
      <w:start w:val="1"/>
      <w:numFmt w:val="bullet"/>
      <w:lvlText w:val="•"/>
      <w:lvlJc w:val="left"/>
      <w:pPr>
        <w:tabs>
          <w:tab w:val="num" w:pos="5760"/>
        </w:tabs>
        <w:ind w:left="5760" w:hanging="360"/>
      </w:pPr>
      <w:rPr>
        <w:rFonts w:ascii="Arial" w:hAnsi="Arial" w:hint="default"/>
      </w:rPr>
    </w:lvl>
    <w:lvl w:ilvl="8" w:tplc="4B5202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321F12"/>
    <w:multiLevelType w:val="hybridMultilevel"/>
    <w:tmpl w:val="796E0A4C"/>
    <w:lvl w:ilvl="0" w:tplc="781E7626">
      <w:start w:val="1"/>
      <w:numFmt w:val="bullet"/>
      <w:lvlText w:val="•"/>
      <w:lvlJc w:val="left"/>
      <w:pPr>
        <w:tabs>
          <w:tab w:val="num" w:pos="720"/>
        </w:tabs>
        <w:ind w:left="720" w:hanging="360"/>
      </w:pPr>
      <w:rPr>
        <w:rFonts w:ascii="Arial" w:hAnsi="Arial" w:hint="default"/>
      </w:rPr>
    </w:lvl>
    <w:lvl w:ilvl="1" w:tplc="28FA43A4" w:tentative="1">
      <w:start w:val="1"/>
      <w:numFmt w:val="bullet"/>
      <w:lvlText w:val="•"/>
      <w:lvlJc w:val="left"/>
      <w:pPr>
        <w:tabs>
          <w:tab w:val="num" w:pos="1440"/>
        </w:tabs>
        <w:ind w:left="1440" w:hanging="360"/>
      </w:pPr>
      <w:rPr>
        <w:rFonts w:ascii="Arial" w:hAnsi="Arial" w:hint="default"/>
      </w:rPr>
    </w:lvl>
    <w:lvl w:ilvl="2" w:tplc="553C63F2" w:tentative="1">
      <w:start w:val="1"/>
      <w:numFmt w:val="bullet"/>
      <w:lvlText w:val="•"/>
      <w:lvlJc w:val="left"/>
      <w:pPr>
        <w:tabs>
          <w:tab w:val="num" w:pos="2160"/>
        </w:tabs>
        <w:ind w:left="2160" w:hanging="360"/>
      </w:pPr>
      <w:rPr>
        <w:rFonts w:ascii="Arial" w:hAnsi="Arial" w:hint="default"/>
      </w:rPr>
    </w:lvl>
    <w:lvl w:ilvl="3" w:tplc="9C4A50BA" w:tentative="1">
      <w:start w:val="1"/>
      <w:numFmt w:val="bullet"/>
      <w:lvlText w:val="•"/>
      <w:lvlJc w:val="left"/>
      <w:pPr>
        <w:tabs>
          <w:tab w:val="num" w:pos="2880"/>
        </w:tabs>
        <w:ind w:left="2880" w:hanging="360"/>
      </w:pPr>
      <w:rPr>
        <w:rFonts w:ascii="Arial" w:hAnsi="Arial" w:hint="default"/>
      </w:rPr>
    </w:lvl>
    <w:lvl w:ilvl="4" w:tplc="53C64632" w:tentative="1">
      <w:start w:val="1"/>
      <w:numFmt w:val="bullet"/>
      <w:lvlText w:val="•"/>
      <w:lvlJc w:val="left"/>
      <w:pPr>
        <w:tabs>
          <w:tab w:val="num" w:pos="3600"/>
        </w:tabs>
        <w:ind w:left="3600" w:hanging="360"/>
      </w:pPr>
      <w:rPr>
        <w:rFonts w:ascii="Arial" w:hAnsi="Arial" w:hint="default"/>
      </w:rPr>
    </w:lvl>
    <w:lvl w:ilvl="5" w:tplc="799AAEBA" w:tentative="1">
      <w:start w:val="1"/>
      <w:numFmt w:val="bullet"/>
      <w:lvlText w:val="•"/>
      <w:lvlJc w:val="left"/>
      <w:pPr>
        <w:tabs>
          <w:tab w:val="num" w:pos="4320"/>
        </w:tabs>
        <w:ind w:left="4320" w:hanging="360"/>
      </w:pPr>
      <w:rPr>
        <w:rFonts w:ascii="Arial" w:hAnsi="Arial" w:hint="default"/>
      </w:rPr>
    </w:lvl>
    <w:lvl w:ilvl="6" w:tplc="947608A8" w:tentative="1">
      <w:start w:val="1"/>
      <w:numFmt w:val="bullet"/>
      <w:lvlText w:val="•"/>
      <w:lvlJc w:val="left"/>
      <w:pPr>
        <w:tabs>
          <w:tab w:val="num" w:pos="5040"/>
        </w:tabs>
        <w:ind w:left="5040" w:hanging="360"/>
      </w:pPr>
      <w:rPr>
        <w:rFonts w:ascii="Arial" w:hAnsi="Arial" w:hint="default"/>
      </w:rPr>
    </w:lvl>
    <w:lvl w:ilvl="7" w:tplc="8D406700" w:tentative="1">
      <w:start w:val="1"/>
      <w:numFmt w:val="bullet"/>
      <w:lvlText w:val="•"/>
      <w:lvlJc w:val="left"/>
      <w:pPr>
        <w:tabs>
          <w:tab w:val="num" w:pos="5760"/>
        </w:tabs>
        <w:ind w:left="5760" w:hanging="360"/>
      </w:pPr>
      <w:rPr>
        <w:rFonts w:ascii="Arial" w:hAnsi="Arial" w:hint="default"/>
      </w:rPr>
    </w:lvl>
    <w:lvl w:ilvl="8" w:tplc="CE6216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1774CB"/>
    <w:multiLevelType w:val="hybridMultilevel"/>
    <w:tmpl w:val="C638055A"/>
    <w:lvl w:ilvl="0" w:tplc="EBBE7E90">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F26E0"/>
    <w:multiLevelType w:val="hybridMultilevel"/>
    <w:tmpl w:val="2A2C5E36"/>
    <w:lvl w:ilvl="0" w:tplc="988E2E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F12A3"/>
    <w:multiLevelType w:val="hybridMultilevel"/>
    <w:tmpl w:val="5DC26038"/>
    <w:lvl w:ilvl="0" w:tplc="988E2E5E">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6"/>
  </w:num>
  <w:num w:numId="2">
    <w:abstractNumId w:val="8"/>
  </w:num>
  <w:num w:numId="3">
    <w:abstractNumId w:val="1"/>
  </w:num>
  <w:num w:numId="4">
    <w:abstractNumId w:val="7"/>
  </w:num>
  <w:num w:numId="5">
    <w:abstractNumId w:val="5"/>
  </w:num>
  <w:num w:numId="6">
    <w:abstractNumId w:val="4"/>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9"/>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1306"/>
    <w:rsid w:val="00010500"/>
    <w:rsid w:val="00026992"/>
    <w:rsid w:val="000279AB"/>
    <w:rsid w:val="00035E82"/>
    <w:rsid w:val="000462FE"/>
    <w:rsid w:val="00047E12"/>
    <w:rsid w:val="00066C0B"/>
    <w:rsid w:val="0007081D"/>
    <w:rsid w:val="00073851"/>
    <w:rsid w:val="000778EF"/>
    <w:rsid w:val="00082D2A"/>
    <w:rsid w:val="00090589"/>
    <w:rsid w:val="00097195"/>
    <w:rsid w:val="000B34E3"/>
    <w:rsid w:val="000B761F"/>
    <w:rsid w:val="000C6BC7"/>
    <w:rsid w:val="000D614B"/>
    <w:rsid w:val="001127BA"/>
    <w:rsid w:val="0011589E"/>
    <w:rsid w:val="001158B4"/>
    <w:rsid w:val="00161DC4"/>
    <w:rsid w:val="001650A2"/>
    <w:rsid w:val="00184B8A"/>
    <w:rsid w:val="00196B8C"/>
    <w:rsid w:val="001A0B6B"/>
    <w:rsid w:val="001A5087"/>
    <w:rsid w:val="001B78AC"/>
    <w:rsid w:val="001C46BC"/>
    <w:rsid w:val="001D1FE4"/>
    <w:rsid w:val="001E15D7"/>
    <w:rsid w:val="001E28A5"/>
    <w:rsid w:val="001E2FF6"/>
    <w:rsid w:val="001E3ADF"/>
    <w:rsid w:val="001F3B1C"/>
    <w:rsid w:val="00210CF1"/>
    <w:rsid w:val="002113DC"/>
    <w:rsid w:val="00215DAF"/>
    <w:rsid w:val="00226B43"/>
    <w:rsid w:val="00233337"/>
    <w:rsid w:val="00241583"/>
    <w:rsid w:val="00242783"/>
    <w:rsid w:val="00242F35"/>
    <w:rsid w:val="00243536"/>
    <w:rsid w:val="002548A1"/>
    <w:rsid w:val="00272AAB"/>
    <w:rsid w:val="002D0265"/>
    <w:rsid w:val="002D0B87"/>
    <w:rsid w:val="002E22C1"/>
    <w:rsid w:val="003117FA"/>
    <w:rsid w:val="0032241C"/>
    <w:rsid w:val="00323A51"/>
    <w:rsid w:val="003328B9"/>
    <w:rsid w:val="003407C7"/>
    <w:rsid w:val="003423E2"/>
    <w:rsid w:val="0039641B"/>
    <w:rsid w:val="00396566"/>
    <w:rsid w:val="003B3880"/>
    <w:rsid w:val="003D17A2"/>
    <w:rsid w:val="003D4674"/>
    <w:rsid w:val="003D5C6F"/>
    <w:rsid w:val="003D6C22"/>
    <w:rsid w:val="004122D1"/>
    <w:rsid w:val="00413971"/>
    <w:rsid w:val="00416703"/>
    <w:rsid w:val="004168AC"/>
    <w:rsid w:val="00435B41"/>
    <w:rsid w:val="00447108"/>
    <w:rsid w:val="00454B98"/>
    <w:rsid w:val="004657F4"/>
    <w:rsid w:val="00466C7C"/>
    <w:rsid w:val="00477FE9"/>
    <w:rsid w:val="00482322"/>
    <w:rsid w:val="00485AEF"/>
    <w:rsid w:val="00486281"/>
    <w:rsid w:val="004D1922"/>
    <w:rsid w:val="004E1267"/>
    <w:rsid w:val="004F0CCF"/>
    <w:rsid w:val="004F4AD5"/>
    <w:rsid w:val="004F4B5D"/>
    <w:rsid w:val="005110E9"/>
    <w:rsid w:val="005125B9"/>
    <w:rsid w:val="0051366F"/>
    <w:rsid w:val="00513CC5"/>
    <w:rsid w:val="00521E51"/>
    <w:rsid w:val="00534937"/>
    <w:rsid w:val="005518D8"/>
    <w:rsid w:val="00583D4C"/>
    <w:rsid w:val="005A180C"/>
    <w:rsid w:val="005B2207"/>
    <w:rsid w:val="005C3C50"/>
    <w:rsid w:val="005E1820"/>
    <w:rsid w:val="00600A7C"/>
    <w:rsid w:val="006250FD"/>
    <w:rsid w:val="00626F64"/>
    <w:rsid w:val="00736656"/>
    <w:rsid w:val="00742E5C"/>
    <w:rsid w:val="00750645"/>
    <w:rsid w:val="00754C7E"/>
    <w:rsid w:val="00757BAF"/>
    <w:rsid w:val="00775576"/>
    <w:rsid w:val="00781D54"/>
    <w:rsid w:val="0078396B"/>
    <w:rsid w:val="00785EC5"/>
    <w:rsid w:val="007B62BA"/>
    <w:rsid w:val="007C7146"/>
    <w:rsid w:val="007D2655"/>
    <w:rsid w:val="007D7BCF"/>
    <w:rsid w:val="007E1D13"/>
    <w:rsid w:val="008016BC"/>
    <w:rsid w:val="008027AC"/>
    <w:rsid w:val="00860422"/>
    <w:rsid w:val="00863F47"/>
    <w:rsid w:val="008713FF"/>
    <w:rsid w:val="00873F0C"/>
    <w:rsid w:val="00893EB1"/>
    <w:rsid w:val="008A05E3"/>
    <w:rsid w:val="008A0B54"/>
    <w:rsid w:val="008C7D40"/>
    <w:rsid w:val="008D3F1C"/>
    <w:rsid w:val="008F48AA"/>
    <w:rsid w:val="0090099E"/>
    <w:rsid w:val="00916865"/>
    <w:rsid w:val="00925360"/>
    <w:rsid w:val="00925AB1"/>
    <w:rsid w:val="00925BA8"/>
    <w:rsid w:val="00934E0E"/>
    <w:rsid w:val="009571A2"/>
    <w:rsid w:val="00971BE3"/>
    <w:rsid w:val="00972243"/>
    <w:rsid w:val="009976E8"/>
    <w:rsid w:val="009B09A0"/>
    <w:rsid w:val="009C7216"/>
    <w:rsid w:val="009D3772"/>
    <w:rsid w:val="00A23669"/>
    <w:rsid w:val="00A27EEA"/>
    <w:rsid w:val="00A304A3"/>
    <w:rsid w:val="00A326EA"/>
    <w:rsid w:val="00A32921"/>
    <w:rsid w:val="00A44C30"/>
    <w:rsid w:val="00A65F9E"/>
    <w:rsid w:val="00A873A4"/>
    <w:rsid w:val="00A94070"/>
    <w:rsid w:val="00AA63D9"/>
    <w:rsid w:val="00AB2F39"/>
    <w:rsid w:val="00AB4F44"/>
    <w:rsid w:val="00AB6193"/>
    <w:rsid w:val="00AB790D"/>
    <w:rsid w:val="00AD67D3"/>
    <w:rsid w:val="00AE2E3A"/>
    <w:rsid w:val="00AF477D"/>
    <w:rsid w:val="00B0029A"/>
    <w:rsid w:val="00B06B64"/>
    <w:rsid w:val="00B26095"/>
    <w:rsid w:val="00B47341"/>
    <w:rsid w:val="00B57C75"/>
    <w:rsid w:val="00B60EFB"/>
    <w:rsid w:val="00B751AB"/>
    <w:rsid w:val="00B81418"/>
    <w:rsid w:val="00B946E5"/>
    <w:rsid w:val="00B9748D"/>
    <w:rsid w:val="00BB53EC"/>
    <w:rsid w:val="00BC1DAA"/>
    <w:rsid w:val="00BC71D9"/>
    <w:rsid w:val="00BF0DEE"/>
    <w:rsid w:val="00C07BCA"/>
    <w:rsid w:val="00C133ED"/>
    <w:rsid w:val="00C14C44"/>
    <w:rsid w:val="00C25411"/>
    <w:rsid w:val="00C25DEE"/>
    <w:rsid w:val="00C3056B"/>
    <w:rsid w:val="00C31BBB"/>
    <w:rsid w:val="00C55EF2"/>
    <w:rsid w:val="00C7494E"/>
    <w:rsid w:val="00C82B42"/>
    <w:rsid w:val="00CA7B05"/>
    <w:rsid w:val="00CC34FC"/>
    <w:rsid w:val="00CD4E56"/>
    <w:rsid w:val="00CD518D"/>
    <w:rsid w:val="00CE2EBB"/>
    <w:rsid w:val="00D111F1"/>
    <w:rsid w:val="00D306C4"/>
    <w:rsid w:val="00D33247"/>
    <w:rsid w:val="00D37608"/>
    <w:rsid w:val="00D46EB0"/>
    <w:rsid w:val="00D60516"/>
    <w:rsid w:val="00D65FC9"/>
    <w:rsid w:val="00D710DF"/>
    <w:rsid w:val="00D71D32"/>
    <w:rsid w:val="00D742F1"/>
    <w:rsid w:val="00DB54E8"/>
    <w:rsid w:val="00DB7600"/>
    <w:rsid w:val="00DC6596"/>
    <w:rsid w:val="00DD25FB"/>
    <w:rsid w:val="00DD39AE"/>
    <w:rsid w:val="00DD773C"/>
    <w:rsid w:val="00DE72DA"/>
    <w:rsid w:val="00E25AA5"/>
    <w:rsid w:val="00E6716D"/>
    <w:rsid w:val="00E67AF1"/>
    <w:rsid w:val="00E86EA7"/>
    <w:rsid w:val="00EA36B2"/>
    <w:rsid w:val="00EE4AC3"/>
    <w:rsid w:val="00EF70CA"/>
    <w:rsid w:val="00F30E76"/>
    <w:rsid w:val="00F31054"/>
    <w:rsid w:val="00F46E4F"/>
    <w:rsid w:val="00F52964"/>
    <w:rsid w:val="00F863F5"/>
    <w:rsid w:val="00FC267E"/>
    <w:rsid w:val="00FC4B6E"/>
    <w:rsid w:val="00FC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56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8D3F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D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D3F1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link w:val="B2Char"/>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customStyle="1" w:styleId="Agreement">
    <w:name w:val="Agreement"/>
    <w:basedOn w:val="Normal"/>
    <w:next w:val="Normal"/>
    <w:rsid w:val="007E1D13"/>
    <w:pPr>
      <w:numPr>
        <w:numId w:val="2"/>
      </w:numPr>
      <w:tabs>
        <w:tab w:val="clear" w:pos="720"/>
      </w:tabs>
      <w:spacing w:before="60" w:after="0"/>
      <w:ind w:left="360"/>
    </w:pPr>
    <w:rPr>
      <w:rFonts w:ascii="Arial" w:eastAsia="MS Mincho" w:hAnsi="Arial"/>
      <w:b/>
      <w:szCs w:val="24"/>
      <w:lang w:eastAsia="en-GB"/>
    </w:rPr>
  </w:style>
  <w:style w:type="paragraph" w:styleId="ListParagraph">
    <w:name w:val="List Paragraph"/>
    <w:basedOn w:val="Normal"/>
    <w:link w:val="ListParagraphChar"/>
    <w:uiPriority w:val="34"/>
    <w:qFormat/>
    <w:rsid w:val="003407C7"/>
    <w:pPr>
      <w:ind w:left="720"/>
      <w:contextualSpacing/>
    </w:pPr>
  </w:style>
  <w:style w:type="character" w:customStyle="1" w:styleId="Heading2Char">
    <w:name w:val="Heading 2 Char"/>
    <w:basedOn w:val="DefaultParagraphFont"/>
    <w:link w:val="Heading2"/>
    <w:uiPriority w:val="9"/>
    <w:rsid w:val="008D3F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8D3F1C"/>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rsid w:val="008D3F1C"/>
    <w:rPr>
      <w:rFonts w:asciiTheme="majorHAnsi" w:eastAsiaTheme="majorEastAsia" w:hAnsiTheme="majorHAnsi" w:cstheme="majorBidi"/>
      <w:i/>
      <w:iCs/>
      <w:color w:val="2F5496" w:themeColor="accent1" w:themeShade="BF"/>
      <w:sz w:val="20"/>
      <w:szCs w:val="20"/>
      <w:lang w:val="en-GB"/>
    </w:rPr>
  </w:style>
  <w:style w:type="character" w:customStyle="1" w:styleId="ListParagraphChar">
    <w:name w:val="List Paragraph Char"/>
    <w:link w:val="ListParagraph"/>
    <w:uiPriority w:val="34"/>
    <w:qFormat/>
    <w:rsid w:val="00D65FC9"/>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AD67D3"/>
    <w:rPr>
      <w:sz w:val="16"/>
      <w:szCs w:val="16"/>
    </w:rPr>
  </w:style>
  <w:style w:type="paragraph" w:styleId="CommentText">
    <w:name w:val="annotation text"/>
    <w:basedOn w:val="Normal"/>
    <w:link w:val="CommentTextChar"/>
    <w:uiPriority w:val="99"/>
    <w:unhideWhenUsed/>
    <w:rsid w:val="00AD67D3"/>
    <w:pPr>
      <w:spacing w:after="0"/>
    </w:pPr>
    <w:rPr>
      <w:lang w:val="en-US"/>
    </w:rPr>
  </w:style>
  <w:style w:type="character" w:customStyle="1" w:styleId="CommentTextChar">
    <w:name w:val="Comment Text Char"/>
    <w:basedOn w:val="DefaultParagraphFont"/>
    <w:link w:val="CommentText"/>
    <w:uiPriority w:val="99"/>
    <w:rsid w:val="00AD67D3"/>
    <w:rPr>
      <w:rFonts w:ascii="Times New Roman" w:eastAsia="Times New Roman" w:hAnsi="Times New Roman" w:cs="Times New Roman"/>
      <w:sz w:val="20"/>
      <w:szCs w:val="20"/>
    </w:rPr>
  </w:style>
  <w:style w:type="character" w:customStyle="1" w:styleId="B2Char">
    <w:name w:val="B2 Char"/>
    <w:link w:val="B2"/>
    <w:rsid w:val="0007081D"/>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11589E"/>
    <w:rPr>
      <w:color w:val="0000FF"/>
      <w:u w:val="single"/>
    </w:rPr>
  </w:style>
  <w:style w:type="character" w:styleId="UnresolvedMention">
    <w:name w:val="Unresolved Mention"/>
    <w:basedOn w:val="DefaultParagraphFont"/>
    <w:uiPriority w:val="99"/>
    <w:semiHidden/>
    <w:unhideWhenUsed/>
    <w:rsid w:val="00115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6244">
      <w:bodyDiv w:val="1"/>
      <w:marLeft w:val="0"/>
      <w:marRight w:val="0"/>
      <w:marTop w:val="0"/>
      <w:marBottom w:val="0"/>
      <w:divBdr>
        <w:top w:val="none" w:sz="0" w:space="0" w:color="auto"/>
        <w:left w:val="none" w:sz="0" w:space="0" w:color="auto"/>
        <w:bottom w:val="none" w:sz="0" w:space="0" w:color="auto"/>
        <w:right w:val="none" w:sz="0" w:space="0" w:color="auto"/>
      </w:divBdr>
      <w:divsChild>
        <w:div w:id="1169128496">
          <w:marLeft w:val="274"/>
          <w:marRight w:val="0"/>
          <w:marTop w:val="150"/>
          <w:marBottom w:val="0"/>
          <w:divBdr>
            <w:top w:val="none" w:sz="0" w:space="0" w:color="auto"/>
            <w:left w:val="none" w:sz="0" w:space="0" w:color="auto"/>
            <w:bottom w:val="none" w:sz="0" w:space="0" w:color="auto"/>
            <w:right w:val="none" w:sz="0" w:space="0" w:color="auto"/>
          </w:divBdr>
        </w:div>
        <w:div w:id="1555388252">
          <w:marLeft w:val="274"/>
          <w:marRight w:val="0"/>
          <w:marTop w:val="150"/>
          <w:marBottom w:val="0"/>
          <w:divBdr>
            <w:top w:val="none" w:sz="0" w:space="0" w:color="auto"/>
            <w:left w:val="none" w:sz="0" w:space="0" w:color="auto"/>
            <w:bottom w:val="none" w:sz="0" w:space="0" w:color="auto"/>
            <w:right w:val="none" w:sz="0" w:space="0" w:color="auto"/>
          </w:divBdr>
        </w:div>
        <w:div w:id="1667393214">
          <w:marLeft w:val="274"/>
          <w:marRight w:val="0"/>
          <w:marTop w:val="150"/>
          <w:marBottom w:val="0"/>
          <w:divBdr>
            <w:top w:val="none" w:sz="0" w:space="0" w:color="auto"/>
            <w:left w:val="none" w:sz="0" w:space="0" w:color="auto"/>
            <w:bottom w:val="none" w:sz="0" w:space="0" w:color="auto"/>
            <w:right w:val="none" w:sz="0" w:space="0" w:color="auto"/>
          </w:divBdr>
        </w:div>
        <w:div w:id="801076949">
          <w:marLeft w:val="274"/>
          <w:marRight w:val="0"/>
          <w:marTop w:val="150"/>
          <w:marBottom w:val="0"/>
          <w:divBdr>
            <w:top w:val="none" w:sz="0" w:space="0" w:color="auto"/>
            <w:left w:val="none" w:sz="0" w:space="0" w:color="auto"/>
            <w:bottom w:val="none" w:sz="0" w:space="0" w:color="auto"/>
            <w:right w:val="none" w:sz="0" w:space="0" w:color="auto"/>
          </w:divBdr>
        </w:div>
        <w:div w:id="1948154681">
          <w:marLeft w:val="274"/>
          <w:marRight w:val="0"/>
          <w:marTop w:val="150"/>
          <w:marBottom w:val="0"/>
          <w:divBdr>
            <w:top w:val="none" w:sz="0" w:space="0" w:color="auto"/>
            <w:left w:val="none" w:sz="0" w:space="0" w:color="auto"/>
            <w:bottom w:val="none" w:sz="0" w:space="0" w:color="auto"/>
            <w:right w:val="none" w:sz="0" w:space="0" w:color="auto"/>
          </w:divBdr>
        </w:div>
        <w:div w:id="1588805972">
          <w:marLeft w:val="274"/>
          <w:marRight w:val="0"/>
          <w:marTop w:val="150"/>
          <w:marBottom w:val="0"/>
          <w:divBdr>
            <w:top w:val="none" w:sz="0" w:space="0" w:color="auto"/>
            <w:left w:val="none" w:sz="0" w:space="0" w:color="auto"/>
            <w:bottom w:val="none" w:sz="0" w:space="0" w:color="auto"/>
            <w:right w:val="none" w:sz="0" w:space="0" w:color="auto"/>
          </w:divBdr>
        </w:div>
        <w:div w:id="1783575242">
          <w:marLeft w:val="274"/>
          <w:marRight w:val="0"/>
          <w:marTop w:val="150"/>
          <w:marBottom w:val="0"/>
          <w:divBdr>
            <w:top w:val="none" w:sz="0" w:space="0" w:color="auto"/>
            <w:left w:val="none" w:sz="0" w:space="0" w:color="auto"/>
            <w:bottom w:val="none" w:sz="0" w:space="0" w:color="auto"/>
            <w:right w:val="none" w:sz="0" w:space="0" w:color="auto"/>
          </w:divBdr>
        </w:div>
        <w:div w:id="1715348239">
          <w:marLeft w:val="274"/>
          <w:marRight w:val="0"/>
          <w:marTop w:val="150"/>
          <w:marBottom w:val="0"/>
          <w:divBdr>
            <w:top w:val="none" w:sz="0" w:space="0" w:color="auto"/>
            <w:left w:val="none" w:sz="0" w:space="0" w:color="auto"/>
            <w:bottom w:val="none" w:sz="0" w:space="0" w:color="auto"/>
            <w:right w:val="none" w:sz="0" w:space="0" w:color="auto"/>
          </w:divBdr>
        </w:div>
        <w:div w:id="925723252">
          <w:marLeft w:val="274"/>
          <w:marRight w:val="0"/>
          <w:marTop w:val="150"/>
          <w:marBottom w:val="0"/>
          <w:divBdr>
            <w:top w:val="none" w:sz="0" w:space="0" w:color="auto"/>
            <w:left w:val="none" w:sz="0" w:space="0" w:color="auto"/>
            <w:bottom w:val="none" w:sz="0" w:space="0" w:color="auto"/>
            <w:right w:val="none" w:sz="0" w:space="0" w:color="auto"/>
          </w:divBdr>
        </w:div>
      </w:divsChild>
    </w:div>
    <w:div w:id="480463533">
      <w:bodyDiv w:val="1"/>
      <w:marLeft w:val="0"/>
      <w:marRight w:val="0"/>
      <w:marTop w:val="0"/>
      <w:marBottom w:val="0"/>
      <w:divBdr>
        <w:top w:val="none" w:sz="0" w:space="0" w:color="auto"/>
        <w:left w:val="none" w:sz="0" w:space="0" w:color="auto"/>
        <w:bottom w:val="none" w:sz="0" w:space="0" w:color="auto"/>
        <w:right w:val="none" w:sz="0" w:space="0" w:color="auto"/>
      </w:divBdr>
      <w:divsChild>
        <w:div w:id="1376195472">
          <w:marLeft w:val="0"/>
          <w:marRight w:val="75"/>
          <w:marTop w:val="0"/>
          <w:marBottom w:val="0"/>
          <w:divBdr>
            <w:top w:val="none" w:sz="0" w:space="0" w:color="auto"/>
            <w:left w:val="none" w:sz="0" w:space="0" w:color="auto"/>
            <w:bottom w:val="none" w:sz="0" w:space="0" w:color="auto"/>
            <w:right w:val="none" w:sz="0" w:space="0" w:color="auto"/>
          </w:divBdr>
        </w:div>
        <w:div w:id="676227824">
          <w:marLeft w:val="0"/>
          <w:marRight w:val="0"/>
          <w:marTop w:val="0"/>
          <w:marBottom w:val="0"/>
          <w:divBdr>
            <w:top w:val="none" w:sz="0" w:space="0" w:color="auto"/>
            <w:left w:val="none" w:sz="0" w:space="0" w:color="auto"/>
            <w:bottom w:val="none" w:sz="0" w:space="0" w:color="auto"/>
            <w:right w:val="none" w:sz="0" w:space="0" w:color="auto"/>
          </w:divBdr>
          <w:divsChild>
            <w:div w:id="20980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28663">
      <w:bodyDiv w:val="1"/>
      <w:marLeft w:val="0"/>
      <w:marRight w:val="0"/>
      <w:marTop w:val="0"/>
      <w:marBottom w:val="0"/>
      <w:divBdr>
        <w:top w:val="none" w:sz="0" w:space="0" w:color="auto"/>
        <w:left w:val="none" w:sz="0" w:space="0" w:color="auto"/>
        <w:bottom w:val="none" w:sz="0" w:space="0" w:color="auto"/>
        <w:right w:val="none" w:sz="0" w:space="0" w:color="auto"/>
      </w:divBdr>
    </w:div>
    <w:div w:id="926157973">
      <w:bodyDiv w:val="1"/>
      <w:marLeft w:val="0"/>
      <w:marRight w:val="0"/>
      <w:marTop w:val="0"/>
      <w:marBottom w:val="0"/>
      <w:divBdr>
        <w:top w:val="none" w:sz="0" w:space="0" w:color="auto"/>
        <w:left w:val="none" w:sz="0" w:space="0" w:color="auto"/>
        <w:bottom w:val="none" w:sz="0" w:space="0" w:color="auto"/>
        <w:right w:val="none" w:sz="0" w:space="0" w:color="auto"/>
      </w:divBdr>
    </w:div>
    <w:div w:id="1076124902">
      <w:bodyDiv w:val="1"/>
      <w:marLeft w:val="0"/>
      <w:marRight w:val="0"/>
      <w:marTop w:val="0"/>
      <w:marBottom w:val="0"/>
      <w:divBdr>
        <w:top w:val="none" w:sz="0" w:space="0" w:color="auto"/>
        <w:left w:val="none" w:sz="0" w:space="0" w:color="auto"/>
        <w:bottom w:val="none" w:sz="0" w:space="0" w:color="auto"/>
        <w:right w:val="none" w:sz="0" w:space="0" w:color="auto"/>
      </w:divBdr>
    </w:div>
    <w:div w:id="1140608862">
      <w:bodyDiv w:val="1"/>
      <w:marLeft w:val="0"/>
      <w:marRight w:val="0"/>
      <w:marTop w:val="0"/>
      <w:marBottom w:val="0"/>
      <w:divBdr>
        <w:top w:val="none" w:sz="0" w:space="0" w:color="auto"/>
        <w:left w:val="none" w:sz="0" w:space="0" w:color="auto"/>
        <w:bottom w:val="none" w:sz="0" w:space="0" w:color="auto"/>
        <w:right w:val="none" w:sz="0" w:space="0" w:color="auto"/>
      </w:divBdr>
    </w:div>
    <w:div w:id="1144472057">
      <w:bodyDiv w:val="1"/>
      <w:marLeft w:val="0"/>
      <w:marRight w:val="0"/>
      <w:marTop w:val="0"/>
      <w:marBottom w:val="0"/>
      <w:divBdr>
        <w:top w:val="none" w:sz="0" w:space="0" w:color="auto"/>
        <w:left w:val="none" w:sz="0" w:space="0" w:color="auto"/>
        <w:bottom w:val="none" w:sz="0" w:space="0" w:color="auto"/>
        <w:right w:val="none" w:sz="0" w:space="0" w:color="auto"/>
      </w:divBdr>
    </w:div>
    <w:div w:id="1444689369">
      <w:bodyDiv w:val="1"/>
      <w:marLeft w:val="0"/>
      <w:marRight w:val="0"/>
      <w:marTop w:val="0"/>
      <w:marBottom w:val="0"/>
      <w:divBdr>
        <w:top w:val="none" w:sz="0" w:space="0" w:color="auto"/>
        <w:left w:val="none" w:sz="0" w:space="0" w:color="auto"/>
        <w:bottom w:val="none" w:sz="0" w:space="0" w:color="auto"/>
        <w:right w:val="none" w:sz="0" w:space="0" w:color="auto"/>
      </w:divBdr>
      <w:divsChild>
        <w:div w:id="260532510">
          <w:marLeft w:val="274"/>
          <w:marRight w:val="0"/>
          <w:marTop w:val="150"/>
          <w:marBottom w:val="0"/>
          <w:divBdr>
            <w:top w:val="none" w:sz="0" w:space="0" w:color="auto"/>
            <w:left w:val="none" w:sz="0" w:space="0" w:color="auto"/>
            <w:bottom w:val="none" w:sz="0" w:space="0" w:color="auto"/>
            <w:right w:val="none" w:sz="0" w:space="0" w:color="auto"/>
          </w:divBdr>
        </w:div>
      </w:divsChild>
    </w:div>
    <w:div w:id="1514565580">
      <w:bodyDiv w:val="1"/>
      <w:marLeft w:val="0"/>
      <w:marRight w:val="0"/>
      <w:marTop w:val="0"/>
      <w:marBottom w:val="0"/>
      <w:divBdr>
        <w:top w:val="none" w:sz="0" w:space="0" w:color="auto"/>
        <w:left w:val="none" w:sz="0" w:space="0" w:color="auto"/>
        <w:bottom w:val="none" w:sz="0" w:space="0" w:color="auto"/>
        <w:right w:val="none" w:sz="0" w:space="0" w:color="auto"/>
      </w:divBdr>
    </w:div>
    <w:div w:id="1699693896">
      <w:bodyDiv w:val="1"/>
      <w:marLeft w:val="0"/>
      <w:marRight w:val="0"/>
      <w:marTop w:val="0"/>
      <w:marBottom w:val="0"/>
      <w:divBdr>
        <w:top w:val="none" w:sz="0" w:space="0" w:color="auto"/>
        <w:left w:val="none" w:sz="0" w:space="0" w:color="auto"/>
        <w:bottom w:val="none" w:sz="0" w:space="0" w:color="auto"/>
        <w:right w:val="none" w:sz="0" w:space="0" w:color="auto"/>
      </w:divBdr>
      <w:divsChild>
        <w:div w:id="1221743380">
          <w:marLeft w:val="274"/>
          <w:marRight w:val="0"/>
          <w:marTop w:val="150"/>
          <w:marBottom w:val="0"/>
          <w:divBdr>
            <w:top w:val="none" w:sz="0" w:space="0" w:color="auto"/>
            <w:left w:val="none" w:sz="0" w:space="0" w:color="auto"/>
            <w:bottom w:val="none" w:sz="0" w:space="0" w:color="auto"/>
            <w:right w:val="none" w:sz="0" w:space="0" w:color="auto"/>
          </w:divBdr>
        </w:div>
        <w:div w:id="609360110">
          <w:marLeft w:val="274"/>
          <w:marRight w:val="0"/>
          <w:marTop w:val="150"/>
          <w:marBottom w:val="0"/>
          <w:divBdr>
            <w:top w:val="none" w:sz="0" w:space="0" w:color="auto"/>
            <w:left w:val="none" w:sz="0" w:space="0" w:color="auto"/>
            <w:bottom w:val="none" w:sz="0" w:space="0" w:color="auto"/>
            <w:right w:val="none" w:sz="0" w:space="0" w:color="auto"/>
          </w:divBdr>
        </w:div>
      </w:divsChild>
    </w:div>
    <w:div w:id="1826318276">
      <w:bodyDiv w:val="1"/>
      <w:marLeft w:val="0"/>
      <w:marRight w:val="0"/>
      <w:marTop w:val="0"/>
      <w:marBottom w:val="0"/>
      <w:divBdr>
        <w:top w:val="none" w:sz="0" w:space="0" w:color="auto"/>
        <w:left w:val="none" w:sz="0" w:space="0" w:color="auto"/>
        <w:bottom w:val="none" w:sz="0" w:space="0" w:color="auto"/>
        <w:right w:val="none" w:sz="0" w:space="0" w:color="auto"/>
      </w:divBdr>
    </w:div>
    <w:div w:id="190067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Reza Hedayat</cp:lastModifiedBy>
  <cp:revision>7</cp:revision>
  <dcterms:created xsi:type="dcterms:W3CDTF">2019-10-15T19:08:00Z</dcterms:created>
  <dcterms:modified xsi:type="dcterms:W3CDTF">2019-10-16T00:33:00Z</dcterms:modified>
</cp:coreProperties>
</file>